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6F23" w:rsidRPr="00595CE7" w:rsidRDefault="00936F23" w:rsidP="00595CE7">
      <w:pPr>
        <w:jc w:val="center"/>
      </w:pPr>
    </w:p>
    <w:p w:rsidR="00595CE7" w:rsidRPr="00595CE7" w:rsidRDefault="00595CE7" w:rsidP="00595CE7">
      <w:pPr>
        <w:jc w:val="center"/>
      </w:pPr>
    </w:p>
    <w:p w:rsidR="00595CE7" w:rsidRPr="00595CE7" w:rsidRDefault="00595CE7" w:rsidP="00595CE7">
      <w:pPr>
        <w:jc w:val="center"/>
      </w:pPr>
    </w:p>
    <w:p w:rsidR="00595CE7" w:rsidRDefault="00595CE7" w:rsidP="00595CE7">
      <w:pPr>
        <w:spacing w:after="0" w:line="240" w:lineRule="auto"/>
        <w:jc w:val="center"/>
      </w:pPr>
    </w:p>
    <w:p w:rsidR="003D72FF" w:rsidRPr="00595CE7" w:rsidRDefault="003D72FF" w:rsidP="00595CE7">
      <w:pPr>
        <w:spacing w:after="0" w:line="240" w:lineRule="auto"/>
        <w:jc w:val="center"/>
      </w:pPr>
      <w:bookmarkStart w:id="0" w:name="_GoBack"/>
      <w:bookmarkEnd w:id="0"/>
    </w:p>
    <w:p w:rsidR="00595CE7" w:rsidRPr="00595CE7" w:rsidRDefault="00595CE7" w:rsidP="00595CE7">
      <w:pPr>
        <w:spacing w:after="0" w:line="240" w:lineRule="auto"/>
        <w:jc w:val="center"/>
        <w:rPr>
          <w:b/>
          <w:color w:val="1F497D" w:themeColor="text2"/>
          <w:sz w:val="96"/>
          <w:szCs w:val="96"/>
        </w:rPr>
      </w:pPr>
      <w:r w:rsidRPr="00595CE7">
        <w:rPr>
          <w:b/>
          <w:color w:val="1F497D" w:themeColor="text2"/>
          <w:sz w:val="96"/>
          <w:szCs w:val="96"/>
        </w:rPr>
        <w:t>EGALITATEA DE GEN CONTEAZĂ</w:t>
      </w:r>
    </w:p>
    <w:p w:rsidR="00595CE7" w:rsidRPr="003D72FF" w:rsidRDefault="00595CE7" w:rsidP="00595CE7">
      <w:pPr>
        <w:spacing w:after="0" w:line="240" w:lineRule="auto"/>
        <w:jc w:val="center"/>
        <w:rPr>
          <w:color w:val="1F497D" w:themeColor="text2"/>
          <w:sz w:val="32"/>
          <w:szCs w:val="32"/>
        </w:rPr>
      </w:pPr>
      <w:r w:rsidRPr="00595CE7">
        <w:rPr>
          <w:color w:val="1F497D" w:themeColor="text2"/>
          <w:sz w:val="32"/>
          <w:szCs w:val="32"/>
        </w:rPr>
        <w:t>Analiz</w:t>
      </w:r>
      <w:r>
        <w:rPr>
          <w:color w:val="1F497D" w:themeColor="text2"/>
          <w:sz w:val="32"/>
          <w:szCs w:val="32"/>
        </w:rPr>
        <w:t xml:space="preserve">a din perspectiva egalității de gen a materialelor didactice elaborate în cadrul proiectului </w:t>
      </w:r>
      <w:r w:rsidR="003D72FF">
        <w:rPr>
          <w:color w:val="1F497D" w:themeColor="text2"/>
          <w:sz w:val="32"/>
          <w:szCs w:val="32"/>
        </w:rPr>
        <w:t>„Reconceptualizarea Orientării profesionale și consilierii în carieră” (REVOCC)</w:t>
      </w:r>
    </w:p>
    <w:p w:rsidR="00595CE7" w:rsidRPr="003D72FF" w:rsidRDefault="003D72FF" w:rsidP="00595CE7">
      <w:pPr>
        <w:spacing w:after="0" w:line="240" w:lineRule="auto"/>
        <w:jc w:val="center"/>
        <w:rPr>
          <w:color w:val="1F497D" w:themeColor="text2"/>
        </w:rPr>
      </w:pPr>
      <w:r w:rsidRPr="003D72FF">
        <w:rPr>
          <w:color w:val="1F497D" w:themeColor="text2"/>
        </w:rPr>
        <w:t xml:space="preserve">Alexei Buzu </w:t>
      </w:r>
    </w:p>
    <w:p w:rsidR="003D72FF" w:rsidRDefault="003D72FF" w:rsidP="00595CE7">
      <w:pPr>
        <w:spacing w:after="0" w:line="240" w:lineRule="auto"/>
        <w:jc w:val="center"/>
      </w:pPr>
    </w:p>
    <w:p w:rsidR="003D72FF" w:rsidRDefault="003D72FF" w:rsidP="00595CE7">
      <w:pPr>
        <w:spacing w:after="0" w:line="240" w:lineRule="auto"/>
        <w:jc w:val="center"/>
      </w:pPr>
    </w:p>
    <w:p w:rsidR="003D72FF" w:rsidRDefault="003D72FF" w:rsidP="00595CE7">
      <w:pPr>
        <w:spacing w:after="0" w:line="240" w:lineRule="auto"/>
        <w:jc w:val="center"/>
      </w:pPr>
    </w:p>
    <w:p w:rsidR="003D72FF" w:rsidRDefault="003D72FF" w:rsidP="00595CE7">
      <w:pPr>
        <w:spacing w:after="0" w:line="240" w:lineRule="auto"/>
        <w:jc w:val="center"/>
      </w:pPr>
    </w:p>
    <w:p w:rsidR="003D72FF" w:rsidRDefault="003D72FF" w:rsidP="00595CE7">
      <w:pPr>
        <w:spacing w:after="0" w:line="240" w:lineRule="auto"/>
        <w:jc w:val="center"/>
      </w:pPr>
    </w:p>
    <w:p w:rsidR="003D72FF" w:rsidRDefault="003D72FF" w:rsidP="00595CE7">
      <w:pPr>
        <w:spacing w:after="0" w:line="240" w:lineRule="auto"/>
        <w:jc w:val="center"/>
      </w:pPr>
    </w:p>
    <w:p w:rsidR="003D72FF" w:rsidRDefault="003D72FF" w:rsidP="00595CE7">
      <w:pPr>
        <w:spacing w:after="0" w:line="240" w:lineRule="auto"/>
        <w:jc w:val="center"/>
      </w:pPr>
    </w:p>
    <w:p w:rsidR="003D72FF" w:rsidRDefault="003D72FF" w:rsidP="00595CE7">
      <w:pPr>
        <w:spacing w:after="0" w:line="240" w:lineRule="auto"/>
        <w:jc w:val="center"/>
      </w:pPr>
    </w:p>
    <w:p w:rsidR="003D72FF" w:rsidRDefault="003D72FF" w:rsidP="00595CE7">
      <w:pPr>
        <w:spacing w:after="0" w:line="240" w:lineRule="auto"/>
        <w:jc w:val="center"/>
      </w:pPr>
    </w:p>
    <w:p w:rsidR="003D72FF" w:rsidRDefault="003D72FF" w:rsidP="00595CE7">
      <w:pPr>
        <w:spacing w:after="0" w:line="240" w:lineRule="auto"/>
        <w:jc w:val="center"/>
      </w:pPr>
    </w:p>
    <w:p w:rsidR="003D72FF" w:rsidRDefault="003D72FF" w:rsidP="00595CE7">
      <w:pPr>
        <w:spacing w:after="0" w:line="240" w:lineRule="auto"/>
        <w:jc w:val="center"/>
      </w:pPr>
    </w:p>
    <w:p w:rsidR="003D72FF" w:rsidRDefault="003D72FF" w:rsidP="00595CE7">
      <w:pPr>
        <w:spacing w:after="0" w:line="240" w:lineRule="auto"/>
        <w:jc w:val="center"/>
      </w:pPr>
    </w:p>
    <w:p w:rsidR="003D72FF" w:rsidRDefault="003D72FF" w:rsidP="00595CE7">
      <w:pPr>
        <w:spacing w:after="0" w:line="240" w:lineRule="auto"/>
        <w:jc w:val="center"/>
      </w:pPr>
    </w:p>
    <w:p w:rsidR="003D72FF" w:rsidRDefault="003D72FF" w:rsidP="00595CE7">
      <w:pPr>
        <w:spacing w:after="0" w:line="240" w:lineRule="auto"/>
        <w:jc w:val="center"/>
      </w:pPr>
    </w:p>
    <w:p w:rsidR="003D72FF" w:rsidRDefault="003D72FF" w:rsidP="00595CE7">
      <w:pPr>
        <w:spacing w:after="0" w:line="240" w:lineRule="auto"/>
        <w:jc w:val="center"/>
      </w:pPr>
    </w:p>
    <w:p w:rsidR="003D72FF" w:rsidRDefault="003D72FF" w:rsidP="00595CE7">
      <w:pPr>
        <w:spacing w:after="0" w:line="240" w:lineRule="auto"/>
        <w:jc w:val="center"/>
      </w:pPr>
    </w:p>
    <w:p w:rsidR="003D72FF" w:rsidRDefault="003D72FF" w:rsidP="00595CE7">
      <w:pPr>
        <w:spacing w:after="0" w:line="240" w:lineRule="auto"/>
        <w:jc w:val="center"/>
      </w:pPr>
    </w:p>
    <w:p w:rsidR="003D72FF" w:rsidRDefault="003D72FF" w:rsidP="00595CE7">
      <w:pPr>
        <w:spacing w:after="0" w:line="240" w:lineRule="auto"/>
        <w:jc w:val="center"/>
      </w:pPr>
    </w:p>
    <w:p w:rsidR="003D72FF" w:rsidRDefault="003D72FF" w:rsidP="00595CE7">
      <w:pPr>
        <w:spacing w:after="0" w:line="240" w:lineRule="auto"/>
        <w:jc w:val="center"/>
      </w:pPr>
    </w:p>
    <w:p w:rsidR="003D72FF" w:rsidRDefault="003D72FF" w:rsidP="00595CE7">
      <w:pPr>
        <w:spacing w:after="0" w:line="240" w:lineRule="auto"/>
        <w:jc w:val="center"/>
      </w:pPr>
    </w:p>
    <w:p w:rsidR="003D72FF" w:rsidRDefault="003D72FF" w:rsidP="00595CE7">
      <w:pPr>
        <w:spacing w:after="0" w:line="240" w:lineRule="auto"/>
        <w:jc w:val="center"/>
      </w:pPr>
    </w:p>
    <w:p w:rsidR="003D72FF" w:rsidRDefault="003D72FF" w:rsidP="00595CE7">
      <w:pPr>
        <w:spacing w:after="0" w:line="240" w:lineRule="auto"/>
        <w:jc w:val="center"/>
      </w:pPr>
    </w:p>
    <w:p w:rsidR="003D72FF" w:rsidRPr="00BB08DA" w:rsidRDefault="00BB08DA" w:rsidP="00595CE7">
      <w:pPr>
        <w:spacing w:after="0" w:line="240" w:lineRule="auto"/>
        <w:jc w:val="center"/>
        <w:rPr>
          <w:b/>
          <w:color w:val="1F497D" w:themeColor="text2"/>
          <w:sz w:val="28"/>
          <w:szCs w:val="28"/>
        </w:rPr>
      </w:pPr>
      <w:r w:rsidRPr="00BB08DA">
        <w:rPr>
          <w:b/>
          <w:color w:val="1F497D" w:themeColor="text2"/>
          <w:sz w:val="28"/>
          <w:szCs w:val="28"/>
        </w:rPr>
        <w:t xml:space="preserve">CHIȘINĂU, </w:t>
      </w:r>
      <w:r w:rsidR="003D72FF" w:rsidRPr="00BB08DA">
        <w:rPr>
          <w:b/>
          <w:color w:val="1F497D" w:themeColor="text2"/>
          <w:sz w:val="28"/>
          <w:szCs w:val="28"/>
        </w:rPr>
        <w:t xml:space="preserve">2017 </w:t>
      </w:r>
    </w:p>
    <w:p w:rsidR="003D72FF" w:rsidRDefault="003D72FF" w:rsidP="00595CE7">
      <w:pPr>
        <w:spacing w:after="0" w:line="240" w:lineRule="auto"/>
        <w:jc w:val="center"/>
      </w:pPr>
    </w:p>
    <w:p w:rsidR="003D72FF" w:rsidRDefault="003D72FF" w:rsidP="00595CE7">
      <w:pPr>
        <w:spacing w:after="0" w:line="240" w:lineRule="auto"/>
        <w:jc w:val="center"/>
      </w:pPr>
    </w:p>
    <w:p w:rsidR="003D72FF" w:rsidRPr="00595CE7" w:rsidRDefault="003D72FF" w:rsidP="00595CE7">
      <w:pPr>
        <w:spacing w:after="0" w:line="240" w:lineRule="auto"/>
        <w:jc w:val="center"/>
      </w:pPr>
    </w:p>
    <w:p w:rsidR="00595CE7" w:rsidRDefault="003D72FF" w:rsidP="003D72FF">
      <w:pPr>
        <w:rPr>
          <w:color w:val="1F497D" w:themeColor="text2"/>
          <w:sz w:val="36"/>
          <w:szCs w:val="36"/>
        </w:rPr>
      </w:pPr>
      <w:r w:rsidRPr="003D72FF">
        <w:rPr>
          <w:color w:val="1F497D" w:themeColor="text2"/>
          <w:sz w:val="36"/>
          <w:szCs w:val="36"/>
        </w:rPr>
        <w:t>CUPRINS</w:t>
      </w:r>
      <w:r>
        <w:rPr>
          <w:color w:val="1F497D" w:themeColor="text2"/>
          <w:sz w:val="36"/>
          <w:szCs w:val="36"/>
        </w:rPr>
        <w:t>:</w:t>
      </w:r>
    </w:p>
    <w:sdt>
      <w:sdtPr>
        <w:rPr>
          <w:rFonts w:asciiTheme="minorHAnsi" w:eastAsiaTheme="minorHAnsi" w:hAnsiTheme="minorHAnsi" w:cstheme="minorBidi"/>
          <w:b w:val="0"/>
          <w:bCs w:val="0"/>
          <w:color w:val="auto"/>
          <w:sz w:val="22"/>
          <w:szCs w:val="22"/>
          <w:lang w:val="ro-RO"/>
        </w:rPr>
        <w:id w:val="1011146505"/>
        <w:docPartObj>
          <w:docPartGallery w:val="Table of Contents"/>
          <w:docPartUnique/>
        </w:docPartObj>
      </w:sdtPr>
      <w:sdtEndPr/>
      <w:sdtContent>
        <w:p w:rsidR="003B3533" w:rsidRPr="005C03BF" w:rsidRDefault="003B3533">
          <w:pPr>
            <w:pStyle w:val="Titlucuprins"/>
            <w:rPr>
              <w:color w:val="1F497D" w:themeColor="text2"/>
            </w:rPr>
          </w:pPr>
        </w:p>
        <w:p w:rsidR="003B3533" w:rsidRPr="005C03BF" w:rsidRDefault="00E62E47" w:rsidP="005C03BF">
          <w:pPr>
            <w:pStyle w:val="Cuprins1"/>
            <w:tabs>
              <w:tab w:val="right" w:leader="dot" w:pos="9062"/>
            </w:tabs>
            <w:spacing w:line="240" w:lineRule="auto"/>
            <w:rPr>
              <w:b/>
              <w:noProof/>
              <w:color w:val="1F497D" w:themeColor="text2"/>
            </w:rPr>
          </w:pPr>
          <w:r w:rsidRPr="005C03BF">
            <w:rPr>
              <w:color w:val="1F497D" w:themeColor="text2"/>
            </w:rPr>
            <w:fldChar w:fldCharType="begin"/>
          </w:r>
          <w:r w:rsidR="003B3533" w:rsidRPr="005C03BF">
            <w:rPr>
              <w:color w:val="1F497D" w:themeColor="text2"/>
            </w:rPr>
            <w:instrText xml:space="preserve"> TOC \o "1-3" \h \z \u </w:instrText>
          </w:r>
          <w:r w:rsidRPr="005C03BF">
            <w:rPr>
              <w:color w:val="1F497D" w:themeColor="text2"/>
            </w:rPr>
            <w:fldChar w:fldCharType="separate"/>
          </w:r>
          <w:hyperlink w:anchor="_Toc497049312" w:history="1">
            <w:r w:rsidR="003B3533" w:rsidRPr="005C03BF">
              <w:rPr>
                <w:rStyle w:val="Hyperlink"/>
                <w:rFonts w:cstheme="minorHAnsi"/>
                <w:b/>
                <w:noProof/>
                <w:color w:val="1F497D" w:themeColor="text2"/>
              </w:rPr>
              <w:t>I.SUMAR EXECUTIV</w:t>
            </w:r>
            <w:r w:rsidR="003B3533" w:rsidRPr="005C03BF">
              <w:rPr>
                <w:b/>
                <w:noProof/>
                <w:webHidden/>
                <w:color w:val="1F497D" w:themeColor="text2"/>
              </w:rPr>
              <w:tab/>
            </w:r>
            <w:r w:rsidRPr="005C03BF">
              <w:rPr>
                <w:b/>
                <w:noProof/>
                <w:webHidden/>
                <w:color w:val="1F497D" w:themeColor="text2"/>
              </w:rPr>
              <w:fldChar w:fldCharType="begin"/>
            </w:r>
            <w:r w:rsidR="003B3533" w:rsidRPr="005C03BF">
              <w:rPr>
                <w:b/>
                <w:noProof/>
                <w:webHidden/>
                <w:color w:val="1F497D" w:themeColor="text2"/>
              </w:rPr>
              <w:instrText xml:space="preserve"> PAGEREF _Toc497049312 \h </w:instrText>
            </w:r>
            <w:r w:rsidRPr="005C03BF">
              <w:rPr>
                <w:b/>
                <w:noProof/>
                <w:webHidden/>
                <w:color w:val="1F497D" w:themeColor="text2"/>
              </w:rPr>
            </w:r>
            <w:r w:rsidRPr="005C03BF">
              <w:rPr>
                <w:b/>
                <w:noProof/>
                <w:webHidden/>
                <w:color w:val="1F497D" w:themeColor="text2"/>
              </w:rPr>
              <w:fldChar w:fldCharType="separate"/>
            </w:r>
            <w:r w:rsidR="001C5004">
              <w:rPr>
                <w:b/>
                <w:noProof/>
                <w:webHidden/>
                <w:color w:val="1F497D" w:themeColor="text2"/>
              </w:rPr>
              <w:t>3</w:t>
            </w:r>
            <w:r w:rsidRPr="005C03BF">
              <w:rPr>
                <w:b/>
                <w:noProof/>
                <w:webHidden/>
                <w:color w:val="1F497D" w:themeColor="text2"/>
              </w:rPr>
              <w:fldChar w:fldCharType="end"/>
            </w:r>
          </w:hyperlink>
        </w:p>
        <w:p w:rsidR="003B3533" w:rsidRPr="005C03BF" w:rsidRDefault="008A37EA" w:rsidP="005C03BF">
          <w:pPr>
            <w:pStyle w:val="Cuprins1"/>
            <w:tabs>
              <w:tab w:val="right" w:leader="dot" w:pos="9062"/>
            </w:tabs>
            <w:spacing w:line="240" w:lineRule="auto"/>
            <w:rPr>
              <w:noProof/>
              <w:color w:val="1F497D" w:themeColor="text2"/>
            </w:rPr>
          </w:pPr>
          <w:hyperlink w:anchor="_Toc497049313" w:history="1">
            <w:r w:rsidR="003B3533" w:rsidRPr="005C03BF">
              <w:rPr>
                <w:rStyle w:val="Hyperlink"/>
                <w:rFonts w:cstheme="minorHAnsi"/>
                <w:b/>
                <w:noProof/>
                <w:color w:val="1F497D" w:themeColor="text2"/>
              </w:rPr>
              <w:t>II.METODOLOGIE</w:t>
            </w:r>
            <w:r w:rsidR="003B3533" w:rsidRPr="005C03BF">
              <w:rPr>
                <w:b/>
                <w:noProof/>
                <w:webHidden/>
                <w:color w:val="1F497D" w:themeColor="text2"/>
              </w:rPr>
              <w:tab/>
            </w:r>
            <w:r w:rsidR="00E62E47" w:rsidRPr="005C03BF">
              <w:rPr>
                <w:b/>
                <w:noProof/>
                <w:webHidden/>
                <w:color w:val="1F497D" w:themeColor="text2"/>
              </w:rPr>
              <w:fldChar w:fldCharType="begin"/>
            </w:r>
            <w:r w:rsidR="003B3533" w:rsidRPr="005C03BF">
              <w:rPr>
                <w:b/>
                <w:noProof/>
                <w:webHidden/>
                <w:color w:val="1F497D" w:themeColor="text2"/>
              </w:rPr>
              <w:instrText xml:space="preserve"> PAGEREF _Toc497049313 \h </w:instrText>
            </w:r>
            <w:r w:rsidR="00E62E47" w:rsidRPr="005C03BF">
              <w:rPr>
                <w:b/>
                <w:noProof/>
                <w:webHidden/>
                <w:color w:val="1F497D" w:themeColor="text2"/>
              </w:rPr>
            </w:r>
            <w:r w:rsidR="00E62E47" w:rsidRPr="005C03BF">
              <w:rPr>
                <w:b/>
                <w:noProof/>
                <w:webHidden/>
                <w:color w:val="1F497D" w:themeColor="text2"/>
              </w:rPr>
              <w:fldChar w:fldCharType="separate"/>
            </w:r>
            <w:r w:rsidR="001C5004">
              <w:rPr>
                <w:b/>
                <w:noProof/>
                <w:webHidden/>
                <w:color w:val="1F497D" w:themeColor="text2"/>
              </w:rPr>
              <w:t>4</w:t>
            </w:r>
            <w:r w:rsidR="00E62E47" w:rsidRPr="005C03BF">
              <w:rPr>
                <w:b/>
                <w:noProof/>
                <w:webHidden/>
                <w:color w:val="1F497D" w:themeColor="text2"/>
              </w:rPr>
              <w:fldChar w:fldCharType="end"/>
            </w:r>
          </w:hyperlink>
        </w:p>
        <w:p w:rsidR="003B3533" w:rsidRPr="005C03BF" w:rsidRDefault="008A37EA" w:rsidP="005C03BF">
          <w:pPr>
            <w:pStyle w:val="Cuprins1"/>
            <w:tabs>
              <w:tab w:val="right" w:leader="dot" w:pos="9062"/>
            </w:tabs>
            <w:spacing w:line="240" w:lineRule="auto"/>
            <w:rPr>
              <w:noProof/>
              <w:color w:val="1F497D" w:themeColor="text2"/>
            </w:rPr>
          </w:pPr>
          <w:hyperlink w:anchor="_Toc497049314" w:history="1">
            <w:r w:rsidR="003B3533" w:rsidRPr="005C03BF">
              <w:rPr>
                <w:rStyle w:val="Hyperlink"/>
                <w:rFonts w:cstheme="minorHAnsi"/>
                <w:b/>
                <w:noProof/>
                <w:color w:val="1F497D" w:themeColor="text2"/>
              </w:rPr>
              <w:t>III. ANALIZA INEGALITĂȚILOR DE GEN RELEVANTE PROCESULUI DE ORIENTĂRE PROFESIONALĂ ŞI CONSILIERE ÎN CARIERĂ</w:t>
            </w:r>
            <w:r w:rsidR="003B3533" w:rsidRPr="005C03BF">
              <w:rPr>
                <w:noProof/>
                <w:webHidden/>
                <w:color w:val="1F497D" w:themeColor="text2"/>
              </w:rPr>
              <w:tab/>
            </w:r>
            <w:r w:rsidR="00E62E47" w:rsidRPr="005C03BF">
              <w:rPr>
                <w:noProof/>
                <w:webHidden/>
                <w:color w:val="1F497D" w:themeColor="text2"/>
              </w:rPr>
              <w:fldChar w:fldCharType="begin"/>
            </w:r>
            <w:r w:rsidR="003B3533" w:rsidRPr="005C03BF">
              <w:rPr>
                <w:noProof/>
                <w:webHidden/>
                <w:color w:val="1F497D" w:themeColor="text2"/>
              </w:rPr>
              <w:instrText xml:space="preserve"> PAGEREF _Toc497049314 \h </w:instrText>
            </w:r>
            <w:r w:rsidR="00E62E47" w:rsidRPr="005C03BF">
              <w:rPr>
                <w:noProof/>
                <w:webHidden/>
                <w:color w:val="1F497D" w:themeColor="text2"/>
              </w:rPr>
            </w:r>
            <w:r w:rsidR="00E62E47" w:rsidRPr="005C03BF">
              <w:rPr>
                <w:noProof/>
                <w:webHidden/>
                <w:color w:val="1F497D" w:themeColor="text2"/>
              </w:rPr>
              <w:fldChar w:fldCharType="separate"/>
            </w:r>
            <w:r w:rsidR="001C5004">
              <w:rPr>
                <w:noProof/>
                <w:webHidden/>
                <w:color w:val="1F497D" w:themeColor="text2"/>
              </w:rPr>
              <w:t>6</w:t>
            </w:r>
            <w:r w:rsidR="00E62E47" w:rsidRPr="005C03BF">
              <w:rPr>
                <w:noProof/>
                <w:webHidden/>
                <w:color w:val="1F497D" w:themeColor="text2"/>
              </w:rPr>
              <w:fldChar w:fldCharType="end"/>
            </w:r>
          </w:hyperlink>
        </w:p>
        <w:p w:rsidR="003B3533" w:rsidRPr="005C03BF" w:rsidRDefault="008A37EA" w:rsidP="005C03BF">
          <w:pPr>
            <w:pStyle w:val="Cuprins2"/>
            <w:tabs>
              <w:tab w:val="right" w:leader="dot" w:pos="9062"/>
            </w:tabs>
            <w:spacing w:line="240" w:lineRule="auto"/>
            <w:rPr>
              <w:noProof/>
              <w:color w:val="1F497D" w:themeColor="text2"/>
            </w:rPr>
          </w:pPr>
          <w:hyperlink w:anchor="_Toc497049315" w:history="1">
            <w:r w:rsidR="003B3533" w:rsidRPr="005C03BF">
              <w:rPr>
                <w:rStyle w:val="Hyperlink"/>
                <w:rFonts w:cstheme="minorHAnsi"/>
                <w:noProof/>
                <w:color w:val="1F497D" w:themeColor="text2"/>
              </w:rPr>
              <w:t>3.1. Performanța Academică</w:t>
            </w:r>
            <w:r w:rsidR="003B3533" w:rsidRPr="005C03BF">
              <w:rPr>
                <w:noProof/>
                <w:webHidden/>
                <w:color w:val="1F497D" w:themeColor="text2"/>
              </w:rPr>
              <w:tab/>
            </w:r>
            <w:r w:rsidR="00E62E47" w:rsidRPr="005C03BF">
              <w:rPr>
                <w:noProof/>
                <w:webHidden/>
                <w:color w:val="1F497D" w:themeColor="text2"/>
              </w:rPr>
              <w:fldChar w:fldCharType="begin"/>
            </w:r>
            <w:r w:rsidR="003B3533" w:rsidRPr="005C03BF">
              <w:rPr>
                <w:noProof/>
                <w:webHidden/>
                <w:color w:val="1F497D" w:themeColor="text2"/>
              </w:rPr>
              <w:instrText xml:space="preserve"> PAGEREF _Toc497049315 \h </w:instrText>
            </w:r>
            <w:r w:rsidR="00E62E47" w:rsidRPr="005C03BF">
              <w:rPr>
                <w:noProof/>
                <w:webHidden/>
                <w:color w:val="1F497D" w:themeColor="text2"/>
              </w:rPr>
            </w:r>
            <w:r w:rsidR="00E62E47" w:rsidRPr="005C03BF">
              <w:rPr>
                <w:noProof/>
                <w:webHidden/>
                <w:color w:val="1F497D" w:themeColor="text2"/>
              </w:rPr>
              <w:fldChar w:fldCharType="separate"/>
            </w:r>
            <w:r w:rsidR="001C5004">
              <w:rPr>
                <w:noProof/>
                <w:webHidden/>
                <w:color w:val="1F497D" w:themeColor="text2"/>
              </w:rPr>
              <w:t>6</w:t>
            </w:r>
            <w:r w:rsidR="00E62E47" w:rsidRPr="005C03BF">
              <w:rPr>
                <w:noProof/>
                <w:webHidden/>
                <w:color w:val="1F497D" w:themeColor="text2"/>
              </w:rPr>
              <w:fldChar w:fldCharType="end"/>
            </w:r>
          </w:hyperlink>
        </w:p>
        <w:p w:rsidR="003B3533" w:rsidRPr="005C03BF" w:rsidRDefault="008A37EA" w:rsidP="005C03BF">
          <w:pPr>
            <w:pStyle w:val="Cuprins2"/>
            <w:tabs>
              <w:tab w:val="right" w:leader="dot" w:pos="9062"/>
            </w:tabs>
            <w:spacing w:line="240" w:lineRule="auto"/>
            <w:rPr>
              <w:noProof/>
              <w:color w:val="1F497D" w:themeColor="text2"/>
            </w:rPr>
          </w:pPr>
          <w:hyperlink w:anchor="_Toc497049316" w:history="1">
            <w:r w:rsidR="003B3533" w:rsidRPr="005C03BF">
              <w:rPr>
                <w:rStyle w:val="Hyperlink"/>
                <w:rFonts w:cstheme="minorHAnsi"/>
                <w:noProof/>
                <w:color w:val="1F497D" w:themeColor="text2"/>
              </w:rPr>
              <w:t>3.2. Opțiunile de carieră</w:t>
            </w:r>
            <w:r w:rsidR="003B3533" w:rsidRPr="005C03BF">
              <w:rPr>
                <w:noProof/>
                <w:webHidden/>
                <w:color w:val="1F497D" w:themeColor="text2"/>
              </w:rPr>
              <w:tab/>
            </w:r>
            <w:r w:rsidR="00E62E47" w:rsidRPr="005C03BF">
              <w:rPr>
                <w:noProof/>
                <w:webHidden/>
                <w:color w:val="1F497D" w:themeColor="text2"/>
              </w:rPr>
              <w:fldChar w:fldCharType="begin"/>
            </w:r>
            <w:r w:rsidR="003B3533" w:rsidRPr="005C03BF">
              <w:rPr>
                <w:noProof/>
                <w:webHidden/>
                <w:color w:val="1F497D" w:themeColor="text2"/>
              </w:rPr>
              <w:instrText xml:space="preserve"> PAGEREF _Toc497049316 \h </w:instrText>
            </w:r>
            <w:r w:rsidR="00E62E47" w:rsidRPr="005C03BF">
              <w:rPr>
                <w:noProof/>
                <w:webHidden/>
                <w:color w:val="1F497D" w:themeColor="text2"/>
              </w:rPr>
            </w:r>
            <w:r w:rsidR="00E62E47" w:rsidRPr="005C03BF">
              <w:rPr>
                <w:noProof/>
                <w:webHidden/>
                <w:color w:val="1F497D" w:themeColor="text2"/>
              </w:rPr>
              <w:fldChar w:fldCharType="separate"/>
            </w:r>
            <w:r w:rsidR="001C5004">
              <w:rPr>
                <w:noProof/>
                <w:webHidden/>
                <w:color w:val="1F497D" w:themeColor="text2"/>
              </w:rPr>
              <w:t>7</w:t>
            </w:r>
            <w:r w:rsidR="00E62E47" w:rsidRPr="005C03BF">
              <w:rPr>
                <w:noProof/>
                <w:webHidden/>
                <w:color w:val="1F497D" w:themeColor="text2"/>
              </w:rPr>
              <w:fldChar w:fldCharType="end"/>
            </w:r>
          </w:hyperlink>
        </w:p>
        <w:p w:rsidR="003B3533" w:rsidRPr="005C03BF" w:rsidRDefault="008A37EA" w:rsidP="005C03BF">
          <w:pPr>
            <w:pStyle w:val="Cuprins1"/>
            <w:tabs>
              <w:tab w:val="right" w:leader="dot" w:pos="9062"/>
            </w:tabs>
            <w:spacing w:line="240" w:lineRule="auto"/>
            <w:rPr>
              <w:b/>
              <w:noProof/>
              <w:color w:val="1F497D" w:themeColor="text2"/>
            </w:rPr>
          </w:pPr>
          <w:hyperlink w:anchor="_Toc497049317" w:history="1">
            <w:r w:rsidR="003B3533" w:rsidRPr="005C03BF">
              <w:rPr>
                <w:rStyle w:val="Hyperlink"/>
                <w:rFonts w:cstheme="minorHAnsi"/>
                <w:b/>
                <w:noProof/>
                <w:color w:val="1F497D" w:themeColor="text2"/>
              </w:rPr>
              <w:t>IV. REZULTATELE ANALIZEI</w:t>
            </w:r>
            <w:r w:rsidR="003B3533" w:rsidRPr="005C03BF">
              <w:rPr>
                <w:b/>
                <w:noProof/>
                <w:webHidden/>
                <w:color w:val="1F497D" w:themeColor="text2"/>
              </w:rPr>
              <w:tab/>
            </w:r>
            <w:r w:rsidR="00E62E47" w:rsidRPr="005C03BF">
              <w:rPr>
                <w:b/>
                <w:noProof/>
                <w:webHidden/>
                <w:color w:val="1F497D" w:themeColor="text2"/>
              </w:rPr>
              <w:fldChar w:fldCharType="begin"/>
            </w:r>
            <w:r w:rsidR="003B3533" w:rsidRPr="005C03BF">
              <w:rPr>
                <w:b/>
                <w:noProof/>
                <w:webHidden/>
                <w:color w:val="1F497D" w:themeColor="text2"/>
              </w:rPr>
              <w:instrText xml:space="preserve"> PAGEREF _Toc497049317 \h </w:instrText>
            </w:r>
            <w:r w:rsidR="00E62E47" w:rsidRPr="005C03BF">
              <w:rPr>
                <w:b/>
                <w:noProof/>
                <w:webHidden/>
                <w:color w:val="1F497D" w:themeColor="text2"/>
              </w:rPr>
            </w:r>
            <w:r w:rsidR="00E62E47" w:rsidRPr="005C03BF">
              <w:rPr>
                <w:b/>
                <w:noProof/>
                <w:webHidden/>
                <w:color w:val="1F497D" w:themeColor="text2"/>
              </w:rPr>
              <w:fldChar w:fldCharType="separate"/>
            </w:r>
            <w:r w:rsidR="001C5004">
              <w:rPr>
                <w:b/>
                <w:noProof/>
                <w:webHidden/>
                <w:color w:val="1F497D" w:themeColor="text2"/>
              </w:rPr>
              <w:t>9</w:t>
            </w:r>
            <w:r w:rsidR="00E62E47" w:rsidRPr="005C03BF">
              <w:rPr>
                <w:b/>
                <w:noProof/>
                <w:webHidden/>
                <w:color w:val="1F497D" w:themeColor="text2"/>
              </w:rPr>
              <w:fldChar w:fldCharType="end"/>
            </w:r>
          </w:hyperlink>
        </w:p>
        <w:p w:rsidR="003B3533" w:rsidRPr="005C03BF" w:rsidRDefault="008A37EA" w:rsidP="005C03BF">
          <w:pPr>
            <w:pStyle w:val="Cuprins2"/>
            <w:tabs>
              <w:tab w:val="right" w:leader="dot" w:pos="9062"/>
            </w:tabs>
            <w:spacing w:line="240" w:lineRule="auto"/>
            <w:rPr>
              <w:noProof/>
              <w:color w:val="1F497D" w:themeColor="text2"/>
            </w:rPr>
          </w:pPr>
          <w:hyperlink w:anchor="_Toc497049318" w:history="1">
            <w:r w:rsidR="003B3533" w:rsidRPr="005C03BF">
              <w:rPr>
                <w:rStyle w:val="Hyperlink"/>
                <w:rFonts w:cstheme="minorHAnsi"/>
                <w:noProof/>
                <w:color w:val="1F497D" w:themeColor="text2"/>
              </w:rPr>
              <w:t>4.1 Clasa V-a</w:t>
            </w:r>
            <w:r w:rsidR="003B3533" w:rsidRPr="005C03BF">
              <w:rPr>
                <w:noProof/>
                <w:webHidden/>
                <w:color w:val="1F497D" w:themeColor="text2"/>
              </w:rPr>
              <w:tab/>
            </w:r>
            <w:r w:rsidR="00E62E47" w:rsidRPr="005C03BF">
              <w:rPr>
                <w:noProof/>
                <w:webHidden/>
                <w:color w:val="1F497D" w:themeColor="text2"/>
              </w:rPr>
              <w:fldChar w:fldCharType="begin"/>
            </w:r>
            <w:r w:rsidR="003B3533" w:rsidRPr="005C03BF">
              <w:rPr>
                <w:noProof/>
                <w:webHidden/>
                <w:color w:val="1F497D" w:themeColor="text2"/>
              </w:rPr>
              <w:instrText xml:space="preserve"> PAGEREF _Toc497049318 \h </w:instrText>
            </w:r>
            <w:r w:rsidR="00E62E47" w:rsidRPr="005C03BF">
              <w:rPr>
                <w:noProof/>
                <w:webHidden/>
                <w:color w:val="1F497D" w:themeColor="text2"/>
              </w:rPr>
            </w:r>
            <w:r w:rsidR="00E62E47" w:rsidRPr="005C03BF">
              <w:rPr>
                <w:noProof/>
                <w:webHidden/>
                <w:color w:val="1F497D" w:themeColor="text2"/>
              </w:rPr>
              <w:fldChar w:fldCharType="separate"/>
            </w:r>
            <w:r w:rsidR="001C5004">
              <w:rPr>
                <w:noProof/>
                <w:webHidden/>
                <w:color w:val="1F497D" w:themeColor="text2"/>
              </w:rPr>
              <w:t>9</w:t>
            </w:r>
            <w:r w:rsidR="00E62E47" w:rsidRPr="005C03BF">
              <w:rPr>
                <w:noProof/>
                <w:webHidden/>
                <w:color w:val="1F497D" w:themeColor="text2"/>
              </w:rPr>
              <w:fldChar w:fldCharType="end"/>
            </w:r>
          </w:hyperlink>
        </w:p>
        <w:p w:rsidR="003B3533" w:rsidRPr="005C03BF" w:rsidRDefault="008A37EA" w:rsidP="005C03BF">
          <w:pPr>
            <w:pStyle w:val="Cuprins2"/>
            <w:tabs>
              <w:tab w:val="right" w:leader="dot" w:pos="9062"/>
            </w:tabs>
            <w:spacing w:line="240" w:lineRule="auto"/>
            <w:rPr>
              <w:noProof/>
              <w:color w:val="1F497D" w:themeColor="text2"/>
            </w:rPr>
          </w:pPr>
          <w:hyperlink w:anchor="_Toc497049320" w:history="1">
            <w:r w:rsidR="003B3533" w:rsidRPr="005C03BF">
              <w:rPr>
                <w:rStyle w:val="Hyperlink"/>
                <w:rFonts w:cstheme="minorHAnsi"/>
                <w:noProof/>
                <w:color w:val="1F497D" w:themeColor="text2"/>
              </w:rPr>
              <w:t>4.2. Clasa VI-a</w:t>
            </w:r>
            <w:r w:rsidR="003B3533" w:rsidRPr="005C03BF">
              <w:rPr>
                <w:noProof/>
                <w:webHidden/>
                <w:color w:val="1F497D" w:themeColor="text2"/>
              </w:rPr>
              <w:tab/>
            </w:r>
            <w:r w:rsidR="00E62E47" w:rsidRPr="005C03BF">
              <w:rPr>
                <w:noProof/>
                <w:webHidden/>
                <w:color w:val="1F497D" w:themeColor="text2"/>
              </w:rPr>
              <w:fldChar w:fldCharType="begin"/>
            </w:r>
            <w:r w:rsidR="003B3533" w:rsidRPr="005C03BF">
              <w:rPr>
                <w:noProof/>
                <w:webHidden/>
                <w:color w:val="1F497D" w:themeColor="text2"/>
              </w:rPr>
              <w:instrText xml:space="preserve"> PAGEREF _Toc497049320 \h </w:instrText>
            </w:r>
            <w:r w:rsidR="00E62E47" w:rsidRPr="005C03BF">
              <w:rPr>
                <w:noProof/>
                <w:webHidden/>
                <w:color w:val="1F497D" w:themeColor="text2"/>
              </w:rPr>
            </w:r>
            <w:r w:rsidR="00E62E47" w:rsidRPr="005C03BF">
              <w:rPr>
                <w:noProof/>
                <w:webHidden/>
                <w:color w:val="1F497D" w:themeColor="text2"/>
              </w:rPr>
              <w:fldChar w:fldCharType="separate"/>
            </w:r>
            <w:r w:rsidR="001C5004">
              <w:rPr>
                <w:noProof/>
                <w:webHidden/>
                <w:color w:val="1F497D" w:themeColor="text2"/>
              </w:rPr>
              <w:t>10</w:t>
            </w:r>
            <w:r w:rsidR="00E62E47" w:rsidRPr="005C03BF">
              <w:rPr>
                <w:noProof/>
                <w:webHidden/>
                <w:color w:val="1F497D" w:themeColor="text2"/>
              </w:rPr>
              <w:fldChar w:fldCharType="end"/>
            </w:r>
          </w:hyperlink>
        </w:p>
        <w:p w:rsidR="003B3533" w:rsidRPr="005C03BF" w:rsidRDefault="008A37EA" w:rsidP="005C03BF">
          <w:pPr>
            <w:pStyle w:val="Cuprins2"/>
            <w:tabs>
              <w:tab w:val="right" w:leader="dot" w:pos="9062"/>
            </w:tabs>
            <w:spacing w:line="240" w:lineRule="auto"/>
            <w:rPr>
              <w:noProof/>
              <w:color w:val="1F497D" w:themeColor="text2"/>
            </w:rPr>
          </w:pPr>
          <w:hyperlink w:anchor="_Toc497049322" w:history="1">
            <w:r w:rsidR="003B3533" w:rsidRPr="005C03BF">
              <w:rPr>
                <w:rStyle w:val="Hyperlink"/>
                <w:rFonts w:cstheme="minorHAnsi"/>
                <w:noProof/>
                <w:color w:val="1F497D" w:themeColor="text2"/>
              </w:rPr>
              <w:t>4.3. Clasa a VII-a</w:t>
            </w:r>
            <w:r w:rsidR="003B3533" w:rsidRPr="005C03BF">
              <w:rPr>
                <w:noProof/>
                <w:webHidden/>
                <w:color w:val="1F497D" w:themeColor="text2"/>
              </w:rPr>
              <w:tab/>
            </w:r>
            <w:r w:rsidR="00E62E47" w:rsidRPr="005C03BF">
              <w:rPr>
                <w:noProof/>
                <w:webHidden/>
                <w:color w:val="1F497D" w:themeColor="text2"/>
              </w:rPr>
              <w:fldChar w:fldCharType="begin"/>
            </w:r>
            <w:r w:rsidR="003B3533" w:rsidRPr="005C03BF">
              <w:rPr>
                <w:noProof/>
                <w:webHidden/>
                <w:color w:val="1F497D" w:themeColor="text2"/>
              </w:rPr>
              <w:instrText xml:space="preserve"> PAGEREF _Toc497049322 \h </w:instrText>
            </w:r>
            <w:r w:rsidR="00E62E47" w:rsidRPr="005C03BF">
              <w:rPr>
                <w:noProof/>
                <w:webHidden/>
                <w:color w:val="1F497D" w:themeColor="text2"/>
              </w:rPr>
            </w:r>
            <w:r w:rsidR="00E62E47" w:rsidRPr="005C03BF">
              <w:rPr>
                <w:noProof/>
                <w:webHidden/>
                <w:color w:val="1F497D" w:themeColor="text2"/>
              </w:rPr>
              <w:fldChar w:fldCharType="separate"/>
            </w:r>
            <w:r w:rsidR="001C5004">
              <w:rPr>
                <w:noProof/>
                <w:webHidden/>
                <w:color w:val="1F497D" w:themeColor="text2"/>
              </w:rPr>
              <w:t>11</w:t>
            </w:r>
            <w:r w:rsidR="00E62E47" w:rsidRPr="005C03BF">
              <w:rPr>
                <w:noProof/>
                <w:webHidden/>
                <w:color w:val="1F497D" w:themeColor="text2"/>
              </w:rPr>
              <w:fldChar w:fldCharType="end"/>
            </w:r>
          </w:hyperlink>
        </w:p>
        <w:p w:rsidR="003B3533" w:rsidRPr="005C03BF" w:rsidRDefault="008A37EA" w:rsidP="005C03BF">
          <w:pPr>
            <w:pStyle w:val="Cuprins2"/>
            <w:tabs>
              <w:tab w:val="right" w:leader="dot" w:pos="9062"/>
            </w:tabs>
            <w:spacing w:line="240" w:lineRule="auto"/>
            <w:rPr>
              <w:noProof/>
              <w:color w:val="1F497D" w:themeColor="text2"/>
            </w:rPr>
          </w:pPr>
          <w:hyperlink w:anchor="_Toc497049324" w:history="1">
            <w:r w:rsidR="003B3533" w:rsidRPr="005C03BF">
              <w:rPr>
                <w:rStyle w:val="Hyperlink"/>
                <w:rFonts w:cstheme="minorHAnsi"/>
                <w:noProof/>
                <w:color w:val="1F497D" w:themeColor="text2"/>
              </w:rPr>
              <w:t>4.4. Clasa a VIII-a</w:t>
            </w:r>
            <w:r w:rsidR="003B3533" w:rsidRPr="005C03BF">
              <w:rPr>
                <w:noProof/>
                <w:webHidden/>
                <w:color w:val="1F497D" w:themeColor="text2"/>
              </w:rPr>
              <w:tab/>
            </w:r>
            <w:r w:rsidR="00E62E47" w:rsidRPr="005C03BF">
              <w:rPr>
                <w:noProof/>
                <w:webHidden/>
                <w:color w:val="1F497D" w:themeColor="text2"/>
              </w:rPr>
              <w:fldChar w:fldCharType="begin"/>
            </w:r>
            <w:r w:rsidR="003B3533" w:rsidRPr="005C03BF">
              <w:rPr>
                <w:noProof/>
                <w:webHidden/>
                <w:color w:val="1F497D" w:themeColor="text2"/>
              </w:rPr>
              <w:instrText xml:space="preserve"> PAGEREF _Toc497049324 \h </w:instrText>
            </w:r>
            <w:r w:rsidR="00E62E47" w:rsidRPr="005C03BF">
              <w:rPr>
                <w:noProof/>
                <w:webHidden/>
                <w:color w:val="1F497D" w:themeColor="text2"/>
              </w:rPr>
            </w:r>
            <w:r w:rsidR="00E62E47" w:rsidRPr="005C03BF">
              <w:rPr>
                <w:noProof/>
                <w:webHidden/>
                <w:color w:val="1F497D" w:themeColor="text2"/>
              </w:rPr>
              <w:fldChar w:fldCharType="separate"/>
            </w:r>
            <w:r w:rsidR="001C5004">
              <w:rPr>
                <w:noProof/>
                <w:webHidden/>
                <w:color w:val="1F497D" w:themeColor="text2"/>
              </w:rPr>
              <w:t>11</w:t>
            </w:r>
            <w:r w:rsidR="00E62E47" w:rsidRPr="005C03BF">
              <w:rPr>
                <w:noProof/>
                <w:webHidden/>
                <w:color w:val="1F497D" w:themeColor="text2"/>
              </w:rPr>
              <w:fldChar w:fldCharType="end"/>
            </w:r>
          </w:hyperlink>
        </w:p>
        <w:p w:rsidR="003B3533" w:rsidRPr="005C03BF" w:rsidRDefault="008A37EA" w:rsidP="005C03BF">
          <w:pPr>
            <w:pStyle w:val="Cuprins2"/>
            <w:tabs>
              <w:tab w:val="right" w:leader="dot" w:pos="9062"/>
            </w:tabs>
            <w:spacing w:line="240" w:lineRule="auto"/>
            <w:rPr>
              <w:noProof/>
              <w:color w:val="1F497D" w:themeColor="text2"/>
            </w:rPr>
          </w:pPr>
          <w:hyperlink w:anchor="_Toc497049326" w:history="1">
            <w:r w:rsidR="003B3533" w:rsidRPr="005C03BF">
              <w:rPr>
                <w:rStyle w:val="Hyperlink"/>
                <w:rFonts w:cstheme="minorHAnsi"/>
                <w:noProof/>
                <w:color w:val="1F497D" w:themeColor="text2"/>
              </w:rPr>
              <w:t>4.5. Clasa a IX-a</w:t>
            </w:r>
            <w:r w:rsidR="003B3533" w:rsidRPr="005C03BF">
              <w:rPr>
                <w:noProof/>
                <w:webHidden/>
                <w:color w:val="1F497D" w:themeColor="text2"/>
              </w:rPr>
              <w:tab/>
            </w:r>
            <w:r w:rsidR="00E62E47" w:rsidRPr="005C03BF">
              <w:rPr>
                <w:noProof/>
                <w:webHidden/>
                <w:color w:val="1F497D" w:themeColor="text2"/>
              </w:rPr>
              <w:fldChar w:fldCharType="begin"/>
            </w:r>
            <w:r w:rsidR="003B3533" w:rsidRPr="005C03BF">
              <w:rPr>
                <w:noProof/>
                <w:webHidden/>
                <w:color w:val="1F497D" w:themeColor="text2"/>
              </w:rPr>
              <w:instrText xml:space="preserve"> PAGEREF _Toc497049326 \h </w:instrText>
            </w:r>
            <w:r w:rsidR="00E62E47" w:rsidRPr="005C03BF">
              <w:rPr>
                <w:noProof/>
                <w:webHidden/>
                <w:color w:val="1F497D" w:themeColor="text2"/>
              </w:rPr>
            </w:r>
            <w:r w:rsidR="00E62E47" w:rsidRPr="005C03BF">
              <w:rPr>
                <w:noProof/>
                <w:webHidden/>
                <w:color w:val="1F497D" w:themeColor="text2"/>
              </w:rPr>
              <w:fldChar w:fldCharType="separate"/>
            </w:r>
            <w:r w:rsidR="001C5004">
              <w:rPr>
                <w:noProof/>
                <w:webHidden/>
                <w:color w:val="1F497D" w:themeColor="text2"/>
              </w:rPr>
              <w:t>12</w:t>
            </w:r>
            <w:r w:rsidR="00E62E47" w:rsidRPr="005C03BF">
              <w:rPr>
                <w:noProof/>
                <w:webHidden/>
                <w:color w:val="1F497D" w:themeColor="text2"/>
              </w:rPr>
              <w:fldChar w:fldCharType="end"/>
            </w:r>
          </w:hyperlink>
        </w:p>
        <w:p w:rsidR="003B3533" w:rsidRPr="005C03BF" w:rsidRDefault="008A37EA" w:rsidP="005C03BF">
          <w:pPr>
            <w:pStyle w:val="Cuprins2"/>
            <w:tabs>
              <w:tab w:val="right" w:leader="dot" w:pos="9062"/>
            </w:tabs>
            <w:spacing w:line="240" w:lineRule="auto"/>
            <w:rPr>
              <w:noProof/>
              <w:color w:val="1F497D" w:themeColor="text2"/>
            </w:rPr>
          </w:pPr>
          <w:hyperlink w:anchor="_Toc497049328" w:history="1">
            <w:r w:rsidR="003B3533" w:rsidRPr="005C03BF">
              <w:rPr>
                <w:rStyle w:val="Hyperlink"/>
                <w:rFonts w:cstheme="minorHAnsi"/>
                <w:noProof/>
                <w:color w:val="1F497D" w:themeColor="text2"/>
              </w:rPr>
              <w:t>4.6. Clasa a X-a</w:t>
            </w:r>
            <w:r w:rsidR="003B3533" w:rsidRPr="005C03BF">
              <w:rPr>
                <w:noProof/>
                <w:webHidden/>
                <w:color w:val="1F497D" w:themeColor="text2"/>
              </w:rPr>
              <w:tab/>
            </w:r>
            <w:r w:rsidR="00E62E47" w:rsidRPr="005C03BF">
              <w:rPr>
                <w:noProof/>
                <w:webHidden/>
                <w:color w:val="1F497D" w:themeColor="text2"/>
              </w:rPr>
              <w:fldChar w:fldCharType="begin"/>
            </w:r>
            <w:r w:rsidR="003B3533" w:rsidRPr="005C03BF">
              <w:rPr>
                <w:noProof/>
                <w:webHidden/>
                <w:color w:val="1F497D" w:themeColor="text2"/>
              </w:rPr>
              <w:instrText xml:space="preserve"> PAGEREF _Toc497049328 \h </w:instrText>
            </w:r>
            <w:r w:rsidR="00E62E47" w:rsidRPr="005C03BF">
              <w:rPr>
                <w:noProof/>
                <w:webHidden/>
                <w:color w:val="1F497D" w:themeColor="text2"/>
              </w:rPr>
            </w:r>
            <w:r w:rsidR="00E62E47" w:rsidRPr="005C03BF">
              <w:rPr>
                <w:noProof/>
                <w:webHidden/>
                <w:color w:val="1F497D" w:themeColor="text2"/>
              </w:rPr>
              <w:fldChar w:fldCharType="separate"/>
            </w:r>
            <w:r w:rsidR="001C5004">
              <w:rPr>
                <w:noProof/>
                <w:webHidden/>
                <w:color w:val="1F497D" w:themeColor="text2"/>
              </w:rPr>
              <w:t>13</w:t>
            </w:r>
            <w:r w:rsidR="00E62E47" w:rsidRPr="005C03BF">
              <w:rPr>
                <w:noProof/>
                <w:webHidden/>
                <w:color w:val="1F497D" w:themeColor="text2"/>
              </w:rPr>
              <w:fldChar w:fldCharType="end"/>
            </w:r>
          </w:hyperlink>
        </w:p>
        <w:p w:rsidR="003B3533" w:rsidRPr="005C03BF" w:rsidRDefault="008A37EA" w:rsidP="005C03BF">
          <w:pPr>
            <w:pStyle w:val="Cuprins2"/>
            <w:tabs>
              <w:tab w:val="right" w:leader="dot" w:pos="9062"/>
            </w:tabs>
            <w:spacing w:line="240" w:lineRule="auto"/>
            <w:rPr>
              <w:noProof/>
              <w:color w:val="1F497D" w:themeColor="text2"/>
            </w:rPr>
          </w:pPr>
          <w:hyperlink w:anchor="_Toc497049329" w:history="1">
            <w:r w:rsidR="003B3533" w:rsidRPr="005C03BF">
              <w:rPr>
                <w:rStyle w:val="Hyperlink"/>
                <w:rFonts w:cstheme="minorHAnsi"/>
                <w:noProof/>
                <w:color w:val="1F497D" w:themeColor="text2"/>
              </w:rPr>
              <w:t>4.7. Clasa a XI-a</w:t>
            </w:r>
            <w:r w:rsidR="003B3533" w:rsidRPr="005C03BF">
              <w:rPr>
                <w:noProof/>
                <w:webHidden/>
                <w:color w:val="1F497D" w:themeColor="text2"/>
              </w:rPr>
              <w:tab/>
            </w:r>
            <w:r w:rsidR="00E62E47" w:rsidRPr="005C03BF">
              <w:rPr>
                <w:noProof/>
                <w:webHidden/>
                <w:color w:val="1F497D" w:themeColor="text2"/>
              </w:rPr>
              <w:fldChar w:fldCharType="begin"/>
            </w:r>
            <w:r w:rsidR="003B3533" w:rsidRPr="005C03BF">
              <w:rPr>
                <w:noProof/>
                <w:webHidden/>
                <w:color w:val="1F497D" w:themeColor="text2"/>
              </w:rPr>
              <w:instrText xml:space="preserve"> PAGEREF _Toc497049329 \h </w:instrText>
            </w:r>
            <w:r w:rsidR="00E62E47" w:rsidRPr="005C03BF">
              <w:rPr>
                <w:noProof/>
                <w:webHidden/>
                <w:color w:val="1F497D" w:themeColor="text2"/>
              </w:rPr>
            </w:r>
            <w:r w:rsidR="00E62E47" w:rsidRPr="005C03BF">
              <w:rPr>
                <w:noProof/>
                <w:webHidden/>
                <w:color w:val="1F497D" w:themeColor="text2"/>
              </w:rPr>
              <w:fldChar w:fldCharType="separate"/>
            </w:r>
            <w:r w:rsidR="001C5004">
              <w:rPr>
                <w:noProof/>
                <w:webHidden/>
                <w:color w:val="1F497D" w:themeColor="text2"/>
              </w:rPr>
              <w:t>13</w:t>
            </w:r>
            <w:r w:rsidR="00E62E47" w:rsidRPr="005C03BF">
              <w:rPr>
                <w:noProof/>
                <w:webHidden/>
                <w:color w:val="1F497D" w:themeColor="text2"/>
              </w:rPr>
              <w:fldChar w:fldCharType="end"/>
            </w:r>
          </w:hyperlink>
        </w:p>
        <w:p w:rsidR="003B3533" w:rsidRPr="005C03BF" w:rsidRDefault="008A37EA" w:rsidP="005C03BF">
          <w:pPr>
            <w:pStyle w:val="Cuprins2"/>
            <w:tabs>
              <w:tab w:val="right" w:leader="dot" w:pos="9062"/>
            </w:tabs>
            <w:spacing w:line="240" w:lineRule="auto"/>
            <w:rPr>
              <w:noProof/>
              <w:color w:val="1F497D" w:themeColor="text2"/>
            </w:rPr>
          </w:pPr>
          <w:hyperlink w:anchor="_Toc497049330" w:history="1">
            <w:r w:rsidR="003B3533" w:rsidRPr="005C03BF">
              <w:rPr>
                <w:rStyle w:val="Hyperlink"/>
                <w:rFonts w:cstheme="minorHAnsi"/>
                <w:noProof/>
                <w:color w:val="1F497D" w:themeColor="text2"/>
              </w:rPr>
              <w:t>4.8  Clasa a XII-a</w:t>
            </w:r>
            <w:r w:rsidR="003B3533" w:rsidRPr="005C03BF">
              <w:rPr>
                <w:noProof/>
                <w:webHidden/>
                <w:color w:val="1F497D" w:themeColor="text2"/>
              </w:rPr>
              <w:tab/>
            </w:r>
            <w:r w:rsidR="00E62E47" w:rsidRPr="005C03BF">
              <w:rPr>
                <w:noProof/>
                <w:webHidden/>
                <w:color w:val="1F497D" w:themeColor="text2"/>
              </w:rPr>
              <w:fldChar w:fldCharType="begin"/>
            </w:r>
            <w:r w:rsidR="003B3533" w:rsidRPr="005C03BF">
              <w:rPr>
                <w:noProof/>
                <w:webHidden/>
                <w:color w:val="1F497D" w:themeColor="text2"/>
              </w:rPr>
              <w:instrText xml:space="preserve"> PAGEREF _Toc497049330 \h </w:instrText>
            </w:r>
            <w:r w:rsidR="00E62E47" w:rsidRPr="005C03BF">
              <w:rPr>
                <w:noProof/>
                <w:webHidden/>
                <w:color w:val="1F497D" w:themeColor="text2"/>
              </w:rPr>
            </w:r>
            <w:r w:rsidR="00E62E47" w:rsidRPr="005C03BF">
              <w:rPr>
                <w:noProof/>
                <w:webHidden/>
                <w:color w:val="1F497D" w:themeColor="text2"/>
              </w:rPr>
              <w:fldChar w:fldCharType="separate"/>
            </w:r>
            <w:r w:rsidR="001C5004">
              <w:rPr>
                <w:noProof/>
                <w:webHidden/>
                <w:color w:val="1F497D" w:themeColor="text2"/>
              </w:rPr>
              <w:t>14</w:t>
            </w:r>
            <w:r w:rsidR="00E62E47" w:rsidRPr="005C03BF">
              <w:rPr>
                <w:noProof/>
                <w:webHidden/>
                <w:color w:val="1F497D" w:themeColor="text2"/>
              </w:rPr>
              <w:fldChar w:fldCharType="end"/>
            </w:r>
          </w:hyperlink>
        </w:p>
        <w:p w:rsidR="003B3533" w:rsidRPr="005C03BF" w:rsidRDefault="008A37EA" w:rsidP="005C03BF">
          <w:pPr>
            <w:pStyle w:val="Cuprins2"/>
            <w:tabs>
              <w:tab w:val="right" w:leader="dot" w:pos="9062"/>
            </w:tabs>
            <w:spacing w:line="240" w:lineRule="auto"/>
            <w:rPr>
              <w:noProof/>
              <w:color w:val="1F497D" w:themeColor="text2"/>
            </w:rPr>
          </w:pPr>
          <w:hyperlink w:anchor="_Toc497049331" w:history="1">
            <w:r w:rsidR="003B3533" w:rsidRPr="005C03BF">
              <w:rPr>
                <w:rStyle w:val="Hyperlink"/>
                <w:rFonts w:cstheme="minorHAnsi"/>
                <w:noProof/>
                <w:color w:val="1F497D" w:themeColor="text2"/>
              </w:rPr>
              <w:t>4.9. Școala profesională, ciclul post secundar</w:t>
            </w:r>
            <w:r w:rsidR="003B3533" w:rsidRPr="005C03BF">
              <w:rPr>
                <w:noProof/>
                <w:webHidden/>
                <w:color w:val="1F497D" w:themeColor="text2"/>
              </w:rPr>
              <w:tab/>
            </w:r>
            <w:r w:rsidR="00E62E47" w:rsidRPr="005C03BF">
              <w:rPr>
                <w:noProof/>
                <w:webHidden/>
                <w:color w:val="1F497D" w:themeColor="text2"/>
              </w:rPr>
              <w:fldChar w:fldCharType="begin"/>
            </w:r>
            <w:r w:rsidR="003B3533" w:rsidRPr="005C03BF">
              <w:rPr>
                <w:noProof/>
                <w:webHidden/>
                <w:color w:val="1F497D" w:themeColor="text2"/>
              </w:rPr>
              <w:instrText xml:space="preserve"> PAGEREF _Toc497049331 \h </w:instrText>
            </w:r>
            <w:r w:rsidR="00E62E47" w:rsidRPr="005C03BF">
              <w:rPr>
                <w:noProof/>
                <w:webHidden/>
                <w:color w:val="1F497D" w:themeColor="text2"/>
              </w:rPr>
            </w:r>
            <w:r w:rsidR="00E62E47" w:rsidRPr="005C03BF">
              <w:rPr>
                <w:noProof/>
                <w:webHidden/>
                <w:color w:val="1F497D" w:themeColor="text2"/>
              </w:rPr>
              <w:fldChar w:fldCharType="separate"/>
            </w:r>
            <w:r w:rsidR="001C5004">
              <w:rPr>
                <w:noProof/>
                <w:webHidden/>
                <w:color w:val="1F497D" w:themeColor="text2"/>
              </w:rPr>
              <w:t>14</w:t>
            </w:r>
            <w:r w:rsidR="00E62E47" w:rsidRPr="005C03BF">
              <w:rPr>
                <w:noProof/>
                <w:webHidden/>
                <w:color w:val="1F497D" w:themeColor="text2"/>
              </w:rPr>
              <w:fldChar w:fldCharType="end"/>
            </w:r>
          </w:hyperlink>
        </w:p>
        <w:p w:rsidR="003B3533" w:rsidRPr="005C03BF" w:rsidRDefault="008A37EA" w:rsidP="005C03BF">
          <w:pPr>
            <w:pStyle w:val="Cuprins1"/>
            <w:tabs>
              <w:tab w:val="right" w:leader="dot" w:pos="9062"/>
            </w:tabs>
            <w:spacing w:line="240" w:lineRule="auto"/>
            <w:rPr>
              <w:b/>
              <w:noProof/>
              <w:color w:val="1F497D" w:themeColor="text2"/>
            </w:rPr>
          </w:pPr>
          <w:hyperlink w:anchor="_Toc497049332" w:history="1">
            <w:r w:rsidR="003B3533" w:rsidRPr="005C03BF">
              <w:rPr>
                <w:rStyle w:val="Hyperlink"/>
                <w:rFonts w:cstheme="minorHAnsi"/>
                <w:b/>
                <w:noProof/>
                <w:color w:val="1F497D" w:themeColor="text2"/>
              </w:rPr>
              <w:t>V. CONCLUZII</w:t>
            </w:r>
            <w:r w:rsidR="003B3533" w:rsidRPr="005C03BF">
              <w:rPr>
                <w:b/>
                <w:noProof/>
                <w:webHidden/>
                <w:color w:val="1F497D" w:themeColor="text2"/>
              </w:rPr>
              <w:tab/>
            </w:r>
            <w:r w:rsidR="00E62E47" w:rsidRPr="005C03BF">
              <w:rPr>
                <w:b/>
                <w:noProof/>
                <w:webHidden/>
                <w:color w:val="1F497D" w:themeColor="text2"/>
              </w:rPr>
              <w:fldChar w:fldCharType="begin"/>
            </w:r>
            <w:r w:rsidR="003B3533" w:rsidRPr="005C03BF">
              <w:rPr>
                <w:b/>
                <w:noProof/>
                <w:webHidden/>
                <w:color w:val="1F497D" w:themeColor="text2"/>
              </w:rPr>
              <w:instrText xml:space="preserve"> PAGEREF _Toc497049332 \h </w:instrText>
            </w:r>
            <w:r w:rsidR="00E62E47" w:rsidRPr="005C03BF">
              <w:rPr>
                <w:b/>
                <w:noProof/>
                <w:webHidden/>
                <w:color w:val="1F497D" w:themeColor="text2"/>
              </w:rPr>
            </w:r>
            <w:r w:rsidR="00E62E47" w:rsidRPr="005C03BF">
              <w:rPr>
                <w:b/>
                <w:noProof/>
                <w:webHidden/>
                <w:color w:val="1F497D" w:themeColor="text2"/>
              </w:rPr>
              <w:fldChar w:fldCharType="separate"/>
            </w:r>
            <w:r w:rsidR="001C5004">
              <w:rPr>
                <w:b/>
                <w:noProof/>
                <w:webHidden/>
                <w:color w:val="1F497D" w:themeColor="text2"/>
              </w:rPr>
              <w:t>15</w:t>
            </w:r>
            <w:r w:rsidR="00E62E47" w:rsidRPr="005C03BF">
              <w:rPr>
                <w:b/>
                <w:noProof/>
                <w:webHidden/>
                <w:color w:val="1F497D" w:themeColor="text2"/>
              </w:rPr>
              <w:fldChar w:fldCharType="end"/>
            </w:r>
          </w:hyperlink>
        </w:p>
        <w:p w:rsidR="003B3533" w:rsidRPr="005C03BF" w:rsidRDefault="008A37EA" w:rsidP="005C03BF">
          <w:pPr>
            <w:pStyle w:val="Cuprins1"/>
            <w:tabs>
              <w:tab w:val="right" w:leader="dot" w:pos="9062"/>
            </w:tabs>
            <w:spacing w:line="240" w:lineRule="auto"/>
            <w:rPr>
              <w:b/>
              <w:noProof/>
              <w:color w:val="1F497D" w:themeColor="text2"/>
            </w:rPr>
          </w:pPr>
          <w:hyperlink w:anchor="_Toc497049333" w:history="1">
            <w:r w:rsidR="003B3533" w:rsidRPr="005C03BF">
              <w:rPr>
                <w:rStyle w:val="Hyperlink"/>
                <w:rFonts w:cstheme="minorHAnsi"/>
                <w:b/>
                <w:noProof/>
                <w:color w:val="1F497D" w:themeColor="text2"/>
              </w:rPr>
              <w:t>VI. RECOMANDĂRI</w:t>
            </w:r>
            <w:r w:rsidR="003B3533" w:rsidRPr="005C03BF">
              <w:rPr>
                <w:b/>
                <w:noProof/>
                <w:webHidden/>
                <w:color w:val="1F497D" w:themeColor="text2"/>
              </w:rPr>
              <w:tab/>
            </w:r>
            <w:r w:rsidR="00E62E47" w:rsidRPr="005C03BF">
              <w:rPr>
                <w:b/>
                <w:noProof/>
                <w:webHidden/>
                <w:color w:val="1F497D" w:themeColor="text2"/>
              </w:rPr>
              <w:fldChar w:fldCharType="begin"/>
            </w:r>
            <w:r w:rsidR="003B3533" w:rsidRPr="005C03BF">
              <w:rPr>
                <w:b/>
                <w:noProof/>
                <w:webHidden/>
                <w:color w:val="1F497D" w:themeColor="text2"/>
              </w:rPr>
              <w:instrText xml:space="preserve"> PAGEREF _Toc497049333 \h </w:instrText>
            </w:r>
            <w:r w:rsidR="00E62E47" w:rsidRPr="005C03BF">
              <w:rPr>
                <w:b/>
                <w:noProof/>
                <w:webHidden/>
                <w:color w:val="1F497D" w:themeColor="text2"/>
              </w:rPr>
            </w:r>
            <w:r w:rsidR="00E62E47" w:rsidRPr="005C03BF">
              <w:rPr>
                <w:b/>
                <w:noProof/>
                <w:webHidden/>
                <w:color w:val="1F497D" w:themeColor="text2"/>
              </w:rPr>
              <w:fldChar w:fldCharType="separate"/>
            </w:r>
            <w:r w:rsidR="001C5004">
              <w:rPr>
                <w:b/>
                <w:noProof/>
                <w:webHidden/>
                <w:color w:val="1F497D" w:themeColor="text2"/>
              </w:rPr>
              <w:t>16</w:t>
            </w:r>
            <w:r w:rsidR="00E62E47" w:rsidRPr="005C03BF">
              <w:rPr>
                <w:b/>
                <w:noProof/>
                <w:webHidden/>
                <w:color w:val="1F497D" w:themeColor="text2"/>
              </w:rPr>
              <w:fldChar w:fldCharType="end"/>
            </w:r>
          </w:hyperlink>
        </w:p>
        <w:p w:rsidR="003B3533" w:rsidRPr="005C03BF" w:rsidRDefault="008A37EA" w:rsidP="005C03BF">
          <w:pPr>
            <w:pStyle w:val="Cuprins1"/>
            <w:tabs>
              <w:tab w:val="right" w:leader="dot" w:pos="9062"/>
            </w:tabs>
            <w:spacing w:line="240" w:lineRule="auto"/>
            <w:rPr>
              <w:b/>
              <w:noProof/>
              <w:color w:val="1F497D" w:themeColor="text2"/>
            </w:rPr>
          </w:pPr>
          <w:hyperlink w:anchor="_Toc497049334" w:history="1">
            <w:r w:rsidR="003B3533" w:rsidRPr="005C03BF">
              <w:rPr>
                <w:rStyle w:val="Hyperlink"/>
                <w:rFonts w:cstheme="minorHAnsi"/>
                <w:b/>
                <w:noProof/>
                <w:color w:val="1F497D" w:themeColor="text2"/>
              </w:rPr>
              <w:t>VI. BIBLIOGRAFIE</w:t>
            </w:r>
            <w:r w:rsidR="003B3533" w:rsidRPr="005C03BF">
              <w:rPr>
                <w:b/>
                <w:noProof/>
                <w:webHidden/>
                <w:color w:val="1F497D" w:themeColor="text2"/>
              </w:rPr>
              <w:tab/>
            </w:r>
            <w:r w:rsidR="00E62E47" w:rsidRPr="005C03BF">
              <w:rPr>
                <w:b/>
                <w:noProof/>
                <w:webHidden/>
                <w:color w:val="1F497D" w:themeColor="text2"/>
              </w:rPr>
              <w:fldChar w:fldCharType="begin"/>
            </w:r>
            <w:r w:rsidR="003B3533" w:rsidRPr="005C03BF">
              <w:rPr>
                <w:b/>
                <w:noProof/>
                <w:webHidden/>
                <w:color w:val="1F497D" w:themeColor="text2"/>
              </w:rPr>
              <w:instrText xml:space="preserve"> PAGEREF _Toc497049334 \h </w:instrText>
            </w:r>
            <w:r w:rsidR="00E62E47" w:rsidRPr="005C03BF">
              <w:rPr>
                <w:b/>
                <w:noProof/>
                <w:webHidden/>
                <w:color w:val="1F497D" w:themeColor="text2"/>
              </w:rPr>
            </w:r>
            <w:r w:rsidR="00E62E47" w:rsidRPr="005C03BF">
              <w:rPr>
                <w:b/>
                <w:noProof/>
                <w:webHidden/>
                <w:color w:val="1F497D" w:themeColor="text2"/>
              </w:rPr>
              <w:fldChar w:fldCharType="separate"/>
            </w:r>
            <w:r w:rsidR="001C5004">
              <w:rPr>
                <w:b/>
                <w:noProof/>
                <w:webHidden/>
                <w:color w:val="1F497D" w:themeColor="text2"/>
              </w:rPr>
              <w:t>17</w:t>
            </w:r>
            <w:r w:rsidR="00E62E47" w:rsidRPr="005C03BF">
              <w:rPr>
                <w:b/>
                <w:noProof/>
                <w:webHidden/>
                <w:color w:val="1F497D" w:themeColor="text2"/>
              </w:rPr>
              <w:fldChar w:fldCharType="end"/>
            </w:r>
          </w:hyperlink>
        </w:p>
        <w:p w:rsidR="003B3533" w:rsidRDefault="00E62E47" w:rsidP="005C03BF">
          <w:pPr>
            <w:spacing w:line="240" w:lineRule="auto"/>
          </w:pPr>
          <w:r w:rsidRPr="005C03BF">
            <w:rPr>
              <w:color w:val="1F497D" w:themeColor="text2"/>
            </w:rPr>
            <w:fldChar w:fldCharType="end"/>
          </w:r>
        </w:p>
      </w:sdtContent>
    </w:sdt>
    <w:p w:rsidR="003D72FF" w:rsidRDefault="003D72FF" w:rsidP="003D72FF">
      <w:pPr>
        <w:rPr>
          <w:color w:val="1F497D" w:themeColor="text2"/>
          <w:sz w:val="36"/>
          <w:szCs w:val="36"/>
        </w:rPr>
      </w:pPr>
    </w:p>
    <w:p w:rsidR="003D72FF" w:rsidRDefault="003D72FF" w:rsidP="003D72FF">
      <w:pPr>
        <w:rPr>
          <w:color w:val="1F497D" w:themeColor="text2"/>
          <w:sz w:val="36"/>
          <w:szCs w:val="36"/>
        </w:rPr>
      </w:pPr>
    </w:p>
    <w:p w:rsidR="003D72FF" w:rsidRDefault="003D72FF" w:rsidP="003D72FF">
      <w:pPr>
        <w:rPr>
          <w:color w:val="1F497D" w:themeColor="text2"/>
          <w:sz w:val="36"/>
          <w:szCs w:val="36"/>
        </w:rPr>
      </w:pPr>
    </w:p>
    <w:p w:rsidR="003D72FF" w:rsidRDefault="003D72FF" w:rsidP="003D72FF">
      <w:pPr>
        <w:rPr>
          <w:color w:val="1F497D" w:themeColor="text2"/>
          <w:sz w:val="36"/>
          <w:szCs w:val="36"/>
        </w:rPr>
      </w:pPr>
    </w:p>
    <w:p w:rsidR="003D72FF" w:rsidRDefault="003D72FF" w:rsidP="003D72FF">
      <w:pPr>
        <w:rPr>
          <w:color w:val="1F497D" w:themeColor="text2"/>
          <w:sz w:val="36"/>
          <w:szCs w:val="36"/>
        </w:rPr>
      </w:pPr>
    </w:p>
    <w:p w:rsidR="003D72FF" w:rsidRDefault="003D72FF" w:rsidP="003D72FF">
      <w:pPr>
        <w:rPr>
          <w:color w:val="1F497D" w:themeColor="text2"/>
          <w:sz w:val="36"/>
          <w:szCs w:val="36"/>
        </w:rPr>
      </w:pPr>
    </w:p>
    <w:p w:rsidR="003D72FF" w:rsidRDefault="003D72FF" w:rsidP="003D72FF">
      <w:pPr>
        <w:rPr>
          <w:color w:val="1F497D" w:themeColor="text2"/>
          <w:sz w:val="36"/>
          <w:szCs w:val="36"/>
        </w:rPr>
      </w:pPr>
    </w:p>
    <w:p w:rsidR="003D72FF" w:rsidRPr="003B3533" w:rsidRDefault="003D72FF" w:rsidP="003B3533">
      <w:pPr>
        <w:pStyle w:val="Titlu1"/>
        <w:rPr>
          <w:rFonts w:asciiTheme="minorHAnsi" w:hAnsiTheme="minorHAnsi" w:cstheme="minorHAnsi"/>
        </w:rPr>
      </w:pPr>
      <w:bookmarkStart w:id="1" w:name="_Toc497049312"/>
      <w:r w:rsidRPr="003B3533">
        <w:rPr>
          <w:rFonts w:asciiTheme="minorHAnsi" w:hAnsiTheme="minorHAnsi" w:cstheme="minorHAnsi"/>
        </w:rPr>
        <w:t>I.SUMAR EXECUTIV</w:t>
      </w:r>
      <w:bookmarkEnd w:id="1"/>
      <w:r w:rsidRPr="003B3533">
        <w:rPr>
          <w:rFonts w:asciiTheme="minorHAnsi" w:hAnsiTheme="minorHAnsi" w:cstheme="minorHAnsi"/>
        </w:rPr>
        <w:t xml:space="preserve"> </w:t>
      </w:r>
    </w:p>
    <w:p w:rsidR="003D72FF" w:rsidRDefault="003D72FF" w:rsidP="003D72FF">
      <w:pPr>
        <w:spacing w:after="0" w:line="240" w:lineRule="auto"/>
        <w:rPr>
          <w:b/>
          <w:color w:val="1F497D" w:themeColor="text2"/>
          <w:sz w:val="32"/>
          <w:szCs w:val="32"/>
        </w:rPr>
      </w:pPr>
    </w:p>
    <w:p w:rsidR="003D72FF" w:rsidRDefault="003D72FF" w:rsidP="003D72FF">
      <w:pPr>
        <w:spacing w:after="0" w:line="240" w:lineRule="auto"/>
        <w:jc w:val="both"/>
      </w:pPr>
      <w:r>
        <w:rPr>
          <w:b/>
        </w:rPr>
        <w:t xml:space="preserve">Context. </w:t>
      </w:r>
      <w:r>
        <w:t xml:space="preserve">Proiectul REVOCC are drept scop să contribuie la adaptarea sistemului de educație din Moldova la necesitățile și cerințele </w:t>
      </w:r>
      <w:proofErr w:type="spellStart"/>
      <w:r>
        <w:t>pieții</w:t>
      </w:r>
      <w:proofErr w:type="spellEnd"/>
      <w:r>
        <w:t xml:space="preserve"> muncii, în special prin sporirea calității Orientării Profesionale </w:t>
      </w:r>
      <w:proofErr w:type="spellStart"/>
      <w:r>
        <w:t>şi</w:t>
      </w:r>
      <w:proofErr w:type="spellEnd"/>
      <w:r>
        <w:t xml:space="preserve"> Consilierii</w:t>
      </w:r>
      <w:r w:rsidRPr="003D72FF">
        <w:t xml:space="preserve"> în Carieră</w:t>
      </w:r>
      <w:r>
        <w:t xml:space="preserve"> din cadrul școlii (ciclul secundar) și din cadrul ANOFM (la nivelul </w:t>
      </w:r>
      <w:proofErr w:type="spellStart"/>
      <w:r>
        <w:t>extracurricular</w:t>
      </w:r>
      <w:proofErr w:type="spellEnd"/>
      <w:r>
        <w:t xml:space="preserve">). </w:t>
      </w:r>
      <w:r w:rsidR="00B073A0">
        <w:t xml:space="preserve">Grupul țintă a proiectul îl constituie 115 învățători și alți specialiști în educație din cadrul ANOFM și  Ministerului Educației, Culturii și Cercetării. </w:t>
      </w:r>
    </w:p>
    <w:p w:rsidR="00B073A0" w:rsidRDefault="00B073A0" w:rsidP="003D72FF">
      <w:pPr>
        <w:spacing w:after="0" w:line="240" w:lineRule="auto"/>
        <w:jc w:val="both"/>
      </w:pPr>
    </w:p>
    <w:p w:rsidR="00B073A0" w:rsidRDefault="00B073A0" w:rsidP="003D72FF">
      <w:pPr>
        <w:spacing w:after="0" w:line="240" w:lineRule="auto"/>
        <w:jc w:val="both"/>
      </w:pPr>
      <w:r>
        <w:rPr>
          <w:b/>
        </w:rPr>
        <w:t xml:space="preserve">Descrierea sarcinii. </w:t>
      </w:r>
      <w:r w:rsidRPr="00B073A0">
        <w:t>Proiectul urmărește să ofere elevilor și studenților acces la servicii de orientare profesională și servicii de consiliere în carieră</w:t>
      </w:r>
      <w:r>
        <w:t xml:space="preserve"> într-un mod echitabil din perspectiva egalității de gen</w:t>
      </w:r>
      <w:r w:rsidRPr="00B073A0">
        <w:t xml:space="preserve"> pentru a sprijini integrarea lor s</w:t>
      </w:r>
      <w:r>
        <w:t>ocială și economică sau tranziția lor cu succes la nivelul superior de</w:t>
      </w:r>
      <w:r w:rsidRPr="00B073A0">
        <w:t xml:space="preserve"> învățământ. În acest context, CEDA a angajat un consultant național </w:t>
      </w:r>
      <w:r>
        <w:t>în domeniul egalității de gen</w:t>
      </w:r>
      <w:r w:rsidRPr="00B073A0">
        <w:t xml:space="preserve"> pentru a evalua contribuția proiectului în ceea ce privește egalitatea între femei și bărbaț</w:t>
      </w:r>
      <w:r>
        <w:t xml:space="preserve">i, în special pentru a realiza </w:t>
      </w:r>
      <w:r w:rsidRPr="00B073A0">
        <w:t xml:space="preserve">expertiza de gen a tuturor materialelor VOCG </w:t>
      </w:r>
      <w:r>
        <w:t>elaborate</w:t>
      </w:r>
      <w:r w:rsidRPr="00B073A0">
        <w:t xml:space="preserve"> și </w:t>
      </w:r>
      <w:r>
        <w:t>aplicate</w:t>
      </w:r>
      <w:r w:rsidRPr="00B073A0">
        <w:t xml:space="preserve"> de CEDA în c</w:t>
      </w:r>
      <w:r>
        <w:t>adrul programului REVOCC</w:t>
      </w:r>
      <w:r w:rsidRPr="00B073A0">
        <w:t>.</w:t>
      </w:r>
    </w:p>
    <w:p w:rsidR="0047059A" w:rsidRPr="0047059A" w:rsidRDefault="0047059A" w:rsidP="003D72FF">
      <w:pPr>
        <w:spacing w:after="0" w:line="240" w:lineRule="auto"/>
        <w:jc w:val="both"/>
        <w:rPr>
          <w:color w:val="1F497D" w:themeColor="text2"/>
        </w:rPr>
      </w:pPr>
    </w:p>
    <w:p w:rsidR="0047059A" w:rsidRDefault="0047059A" w:rsidP="003D72FF">
      <w:pPr>
        <w:spacing w:after="0" w:line="240" w:lineRule="auto"/>
        <w:jc w:val="both"/>
      </w:pPr>
      <w:r>
        <w:rPr>
          <w:b/>
        </w:rPr>
        <w:t>Constatările din cadrul acestei analize sunt bazate în mare parte prin compararea nivelului de relevanță de gen a materialelor VOCG și nivelul în care materialele integrează dimensiunea egalității de gen.</w:t>
      </w:r>
      <w:r w:rsidRPr="0047059A">
        <w:rPr>
          <w:b/>
        </w:rPr>
        <w:t xml:space="preserve"> </w:t>
      </w:r>
      <w:r>
        <w:t>În acest</w:t>
      </w:r>
      <w:r w:rsidR="00310F0F">
        <w:t xml:space="preserve"> sens,</w:t>
      </w:r>
      <w:r>
        <w:t xml:space="preserve"> fiecare </w:t>
      </w:r>
      <w:r w:rsidRPr="0047059A">
        <w:t>lecție din fiecare manual pentru fiecare clasă va fi</w:t>
      </w:r>
      <w:r>
        <w:t xml:space="preserve"> evaluată prin intermediul unui punctaj (pentru relevanța de gen și nivelul de integrare a </w:t>
      </w:r>
      <w:r w:rsidR="00310F0F">
        <w:t>dimensiunii</w:t>
      </w:r>
      <w:r>
        <w:t xml:space="preserve"> egalității de gen)</w:t>
      </w:r>
      <w:r w:rsidRPr="0047059A">
        <w:t xml:space="preserve">. În contextul acestei evaluări, </w:t>
      </w:r>
      <w:r w:rsidR="00310F0F">
        <w:t xml:space="preserve">pentru echipa REVOCC, decalajul dintre relevanta și integrarea dimensiunii egalității de gen </w:t>
      </w:r>
      <w:r w:rsidRPr="0047059A">
        <w:t>de peste 1 (un) punct</w:t>
      </w:r>
      <w:r w:rsidR="00310F0F">
        <w:t xml:space="preserve"> semnifică o oportunitate de a aborda mult mai comprehensiv aspectele ce țin de egalitatea de gen</w:t>
      </w:r>
      <w:r w:rsidRPr="0047059A">
        <w:t xml:space="preserve">. </w:t>
      </w:r>
    </w:p>
    <w:p w:rsidR="00310F0F" w:rsidRDefault="00310F0F" w:rsidP="003D72FF">
      <w:pPr>
        <w:spacing w:after="0" w:line="240" w:lineRule="auto"/>
        <w:jc w:val="both"/>
      </w:pPr>
    </w:p>
    <w:p w:rsidR="00310F0F" w:rsidRDefault="00310F0F" w:rsidP="003D72FF">
      <w:pPr>
        <w:spacing w:after="0" w:line="240" w:lineRule="auto"/>
        <w:jc w:val="both"/>
      </w:pPr>
      <w:r w:rsidRPr="00CD00AF">
        <w:rPr>
          <w:b/>
        </w:rPr>
        <w:t xml:space="preserve">Orientarea profesională și consilierea în carieră reprezintă un subiect relevant pentru </w:t>
      </w:r>
      <w:r w:rsidR="00CD00AF">
        <w:rPr>
          <w:b/>
        </w:rPr>
        <w:t>dimensiunea egalității de gen</w:t>
      </w:r>
      <w:r w:rsidRPr="00CD00AF">
        <w:rPr>
          <w:b/>
        </w:rPr>
        <w:t>.</w:t>
      </w:r>
      <w:r w:rsidR="00CD00AF">
        <w:t xml:space="preserve"> În</w:t>
      </w:r>
      <w:r w:rsidRPr="00310F0F">
        <w:t xml:space="preserve"> baza datelor disponibile, evaluarea a constatat diferențe semnificative de gen în performanța academică</w:t>
      </w:r>
      <w:r w:rsidR="00CD00AF">
        <w:t>,</w:t>
      </w:r>
      <w:r w:rsidRPr="00310F0F">
        <w:t xml:space="preserve"> timpul pet</w:t>
      </w:r>
      <w:r w:rsidR="00CD00AF">
        <w:t>recut în lectură / studiu, opțiunile</w:t>
      </w:r>
      <w:r w:rsidRPr="00310F0F">
        <w:t xml:space="preserve"> de carieră </w:t>
      </w:r>
      <w:r w:rsidR="00CD00AF">
        <w:t>de carieră</w:t>
      </w:r>
      <w:r w:rsidRPr="00310F0F">
        <w:t>. Aceste inegalități de gen indică o nevoie clară a unei abordări sensibile la dim</w:t>
      </w:r>
      <w:r w:rsidR="00CD00AF">
        <w:t>ensiunea de gen în procesul</w:t>
      </w:r>
      <w:r w:rsidRPr="00310F0F">
        <w:t xml:space="preserve"> orientării profesionale și a consilierii în carieră, inclusiv </w:t>
      </w:r>
      <w:r w:rsidR="00CD00AF">
        <w:t>nevoie de a dezvolta și utiliza materialele</w:t>
      </w:r>
      <w:r w:rsidRPr="00310F0F">
        <w:t xml:space="preserve"> </w:t>
      </w:r>
      <w:r w:rsidR="00CD00AF">
        <w:t xml:space="preserve">didactice </w:t>
      </w:r>
      <w:r w:rsidRPr="00310F0F">
        <w:t>sensibile la gen</w:t>
      </w:r>
      <w:r w:rsidR="00CD00AF">
        <w:t xml:space="preserve">. </w:t>
      </w:r>
    </w:p>
    <w:p w:rsidR="00CD00AF" w:rsidRDefault="00CD00AF" w:rsidP="003D72FF">
      <w:pPr>
        <w:spacing w:after="0" w:line="240" w:lineRule="auto"/>
        <w:jc w:val="both"/>
      </w:pPr>
    </w:p>
    <w:p w:rsidR="00CD00AF" w:rsidRPr="0047059A" w:rsidRDefault="00CD00AF" w:rsidP="003D72FF">
      <w:pPr>
        <w:spacing w:after="0" w:line="240" w:lineRule="auto"/>
        <w:jc w:val="both"/>
      </w:pPr>
      <w:r w:rsidRPr="00D4333C">
        <w:rPr>
          <w:b/>
        </w:rPr>
        <w:t xml:space="preserve">Evaluarea </w:t>
      </w:r>
      <w:r w:rsidR="00D4333C">
        <w:rPr>
          <w:b/>
        </w:rPr>
        <w:t>a constatat</w:t>
      </w:r>
      <w:r w:rsidRPr="00D4333C">
        <w:rPr>
          <w:b/>
        </w:rPr>
        <w:t xml:space="preserve"> că materialele VOCG sunt </w:t>
      </w:r>
      <w:r w:rsidR="00D4333C">
        <w:rPr>
          <w:b/>
        </w:rPr>
        <w:t>sensibile la dimensiunea egalității</w:t>
      </w:r>
      <w:r w:rsidRPr="00D4333C">
        <w:rPr>
          <w:b/>
        </w:rPr>
        <w:t xml:space="preserve"> de gen. </w:t>
      </w:r>
      <w:r w:rsidRPr="00CD00AF">
        <w:t>Scorul mediu pentru relevanța de gen pentru toate materialele VOCG este 2,5 (din 4), iar scorul mediu pentru integrarea dimensiunii de gen</w:t>
      </w:r>
      <w:r w:rsidR="00D4333C">
        <w:t xml:space="preserve"> este 2,3, diferența de gen (diferența dintre relevanța și nivelul de integrare de gen</w:t>
      </w:r>
      <w:r w:rsidRPr="00CD00AF">
        <w:t>) nu este atât de semnificativă. Materialele VOCG iau</w:t>
      </w:r>
      <w:r w:rsidR="00D4333C">
        <w:t xml:space="preserve"> o abordare foarte individuală centrată pe nevoia de a ajuta elevii</w:t>
      </w:r>
      <w:r w:rsidRPr="00CD00AF">
        <w:t xml:space="preserve"> să-și evalueze critic deciziile privind cariera. Această abordare va ajuta atât profesorii, cât și elevii să conteste orice roluri și stereotipuri tradiționale de gen.</w:t>
      </w:r>
    </w:p>
    <w:p w:rsidR="003D72FF" w:rsidRDefault="003D72FF" w:rsidP="003D72FF">
      <w:pPr>
        <w:rPr>
          <w:color w:val="1F497D" w:themeColor="text2"/>
          <w:sz w:val="36"/>
          <w:szCs w:val="36"/>
        </w:rPr>
      </w:pPr>
    </w:p>
    <w:p w:rsidR="003D72FF" w:rsidRDefault="003D72FF" w:rsidP="003D72FF">
      <w:pPr>
        <w:rPr>
          <w:color w:val="1F497D" w:themeColor="text2"/>
          <w:sz w:val="36"/>
          <w:szCs w:val="36"/>
        </w:rPr>
      </w:pPr>
    </w:p>
    <w:p w:rsidR="003D72FF" w:rsidRDefault="003D72FF" w:rsidP="003D72FF">
      <w:pPr>
        <w:rPr>
          <w:color w:val="1F497D" w:themeColor="text2"/>
          <w:sz w:val="36"/>
          <w:szCs w:val="36"/>
        </w:rPr>
      </w:pPr>
    </w:p>
    <w:p w:rsidR="003D72FF" w:rsidRDefault="003D72FF" w:rsidP="003D72FF">
      <w:pPr>
        <w:rPr>
          <w:color w:val="1F497D" w:themeColor="text2"/>
          <w:sz w:val="36"/>
          <w:szCs w:val="36"/>
        </w:rPr>
      </w:pPr>
    </w:p>
    <w:p w:rsidR="003D72FF" w:rsidRDefault="003D72FF" w:rsidP="003D72FF">
      <w:pPr>
        <w:rPr>
          <w:color w:val="1F497D" w:themeColor="text2"/>
          <w:sz w:val="36"/>
          <w:szCs w:val="36"/>
        </w:rPr>
      </w:pPr>
    </w:p>
    <w:p w:rsidR="003D72FF" w:rsidRDefault="008C0893" w:rsidP="003B3533">
      <w:pPr>
        <w:pStyle w:val="Titlu1"/>
        <w:rPr>
          <w:rFonts w:asciiTheme="minorHAnsi" w:hAnsiTheme="minorHAnsi" w:cstheme="minorHAnsi"/>
        </w:rPr>
      </w:pPr>
      <w:bookmarkStart w:id="2" w:name="_Toc497049313"/>
      <w:r w:rsidRPr="003B3533">
        <w:rPr>
          <w:rFonts w:asciiTheme="minorHAnsi" w:hAnsiTheme="minorHAnsi" w:cstheme="minorHAnsi"/>
        </w:rPr>
        <w:t>II.METODOLOGIE</w:t>
      </w:r>
      <w:bookmarkEnd w:id="2"/>
      <w:r w:rsidRPr="003B3533">
        <w:rPr>
          <w:rFonts w:asciiTheme="minorHAnsi" w:hAnsiTheme="minorHAnsi" w:cstheme="minorHAnsi"/>
        </w:rPr>
        <w:t xml:space="preserve"> </w:t>
      </w:r>
    </w:p>
    <w:p w:rsidR="005C03BF" w:rsidRDefault="005C03BF" w:rsidP="008C0893">
      <w:pPr>
        <w:spacing w:after="0" w:line="240" w:lineRule="auto"/>
        <w:jc w:val="both"/>
        <w:rPr>
          <w:b/>
        </w:rPr>
      </w:pPr>
    </w:p>
    <w:p w:rsidR="00B9725F" w:rsidRDefault="008C0893" w:rsidP="008C0893">
      <w:pPr>
        <w:spacing w:after="0" w:line="240" w:lineRule="auto"/>
        <w:jc w:val="both"/>
      </w:pPr>
      <w:r w:rsidRPr="008C0893">
        <w:rPr>
          <w:b/>
        </w:rPr>
        <w:t xml:space="preserve">Evaluarea egalității de gen </w:t>
      </w:r>
      <w:r>
        <w:rPr>
          <w:b/>
        </w:rPr>
        <w:t>presupune</w:t>
      </w:r>
      <w:r w:rsidRPr="008C0893">
        <w:rPr>
          <w:b/>
        </w:rPr>
        <w:t xml:space="preserve"> două etape</w:t>
      </w:r>
      <w:r>
        <w:rPr>
          <w:b/>
        </w:rPr>
        <w:t xml:space="preserve"> de bază</w:t>
      </w:r>
      <w:r w:rsidRPr="008C0893">
        <w:rPr>
          <w:b/>
        </w:rPr>
        <w:t>.</w:t>
      </w:r>
      <w:r w:rsidRPr="008C0893">
        <w:t xml:space="preserve"> La început, trebuie identificate toate inegalitățile de gen relevante în sectorul</w:t>
      </w:r>
      <w:r>
        <w:t xml:space="preserve"> sau domeniului în cauză</w:t>
      </w:r>
      <w:r w:rsidRPr="008C0893">
        <w:t xml:space="preserve">. Acest lucru va contribui la o înțelegere generală </w:t>
      </w:r>
      <w:r>
        <w:t>a modului în care bărbații și femeile (băieții și fetele)</w:t>
      </w:r>
      <w:r w:rsidRPr="008C0893">
        <w:t>,</w:t>
      </w:r>
      <w:r>
        <w:t xml:space="preserve"> sunt afectați în mod diferit în cazul nostru – modul în care băieții și fetele optează pentru anumite profesii</w:t>
      </w:r>
      <w:r w:rsidRPr="008C0893">
        <w:t xml:space="preserve">. </w:t>
      </w:r>
      <w:r>
        <w:t>Cu cât inegalitățile de gen sunt mai semnificative într-un domeniu sau sector, cu atât mai mult trebuie să ne preocupăm de integrarea dimensiunii egalității de gen.</w:t>
      </w:r>
    </w:p>
    <w:p w:rsidR="00B9725F" w:rsidRDefault="00B9725F" w:rsidP="008C0893">
      <w:pPr>
        <w:spacing w:after="0" w:line="240" w:lineRule="auto"/>
        <w:jc w:val="both"/>
      </w:pPr>
    </w:p>
    <w:p w:rsidR="00B9725F" w:rsidRDefault="008C0893" w:rsidP="008C0893">
      <w:pPr>
        <w:spacing w:after="0" w:line="240" w:lineRule="auto"/>
        <w:jc w:val="both"/>
      </w:pPr>
      <w:r>
        <w:t xml:space="preserve"> </w:t>
      </w:r>
      <w:r w:rsidR="00B9725F" w:rsidRPr="00B9725F">
        <w:rPr>
          <w:noProof/>
          <w:lang w:val="ru-RU" w:eastAsia="ru-RU"/>
        </w:rPr>
        <w:drawing>
          <wp:inline distT="0" distB="0" distL="0" distR="0">
            <wp:extent cx="5483640" cy="1995777"/>
            <wp:effectExtent l="38100" t="0" r="3175" b="508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007F44" w:rsidRDefault="00007F44" w:rsidP="00B9725F">
      <w:pPr>
        <w:tabs>
          <w:tab w:val="left" w:pos="2430"/>
        </w:tabs>
        <w:spacing w:after="0" w:line="240" w:lineRule="auto"/>
        <w:jc w:val="both"/>
      </w:pPr>
    </w:p>
    <w:p w:rsidR="008C0893" w:rsidRDefault="00F61EEB" w:rsidP="00B9725F">
      <w:pPr>
        <w:tabs>
          <w:tab w:val="left" w:pos="2430"/>
        </w:tabs>
        <w:spacing w:after="0" w:line="240" w:lineRule="auto"/>
        <w:jc w:val="both"/>
      </w:pPr>
      <w:r>
        <w:rPr>
          <w:b/>
        </w:rPr>
        <w:t>Relevanța de gen poate fi apreciată în baza unui punctaj.</w:t>
      </w:r>
      <w:r>
        <w:t xml:space="preserve"> Tabelul de mai jos descrie criteriile prin care </w:t>
      </w:r>
      <w:r w:rsidR="00B9725F" w:rsidRPr="00B9725F">
        <w:t>relevanța de gen</w:t>
      </w:r>
      <w:r>
        <w:t xml:space="preserve"> este apreciată </w:t>
      </w:r>
      <w:r w:rsidR="00B9725F" w:rsidRPr="00B9725F">
        <w:t xml:space="preserve"> de la 0 (zero) - cel mai mic nivel de relevanță la 4 (patru) - cel mai înalt nivel de relevanță.</w:t>
      </w:r>
      <w:r>
        <w:t xml:space="preserve"> Relevanța egalității </w:t>
      </w:r>
      <w:r w:rsidR="00B9725F" w:rsidRPr="00B9725F">
        <w:t xml:space="preserve"> va fi determinată utilizând conceptul de diferențe de gen care reprezintă diferența dintre valorile medii ale indicatorilor </w:t>
      </w:r>
      <w:r>
        <w:t>pentru bărbați</w:t>
      </w:r>
      <w:r w:rsidR="00B9725F" w:rsidRPr="00B9725F">
        <w:t xml:space="preserve"> și femei relevanți pentru rezultatele programului. În cazul materialelor VOCG, relevanța de gen va fi evaluată pe baza temelor fiecărei lecții din manualele VOCG.</w:t>
      </w:r>
    </w:p>
    <w:p w:rsidR="00F61EEB" w:rsidRDefault="00F61EEB" w:rsidP="00B9725F">
      <w:pPr>
        <w:tabs>
          <w:tab w:val="left" w:pos="2430"/>
        </w:tabs>
        <w:spacing w:after="0" w:line="240" w:lineRule="auto"/>
        <w:jc w:val="both"/>
      </w:pPr>
    </w:p>
    <w:tbl>
      <w:tblPr>
        <w:tblStyle w:val="Style1"/>
        <w:tblW w:w="0" w:type="auto"/>
        <w:tblLook w:val="04A0" w:firstRow="1" w:lastRow="0" w:firstColumn="1" w:lastColumn="0" w:noHBand="0" w:noVBand="1"/>
      </w:tblPr>
      <w:tblGrid>
        <w:gridCol w:w="1884"/>
        <w:gridCol w:w="2742"/>
        <w:gridCol w:w="2742"/>
      </w:tblGrid>
      <w:tr w:rsidR="00F61EEB" w:rsidRPr="00297208" w:rsidTr="0089262F">
        <w:trPr>
          <w:cnfStyle w:val="100000000000" w:firstRow="1" w:lastRow="0" w:firstColumn="0" w:lastColumn="0" w:oddVBand="0" w:evenVBand="0" w:oddHBand="0" w:evenHBand="0" w:firstRowFirstColumn="0" w:firstRowLastColumn="0" w:lastRowFirstColumn="0" w:lastRowLastColumn="0"/>
        </w:trPr>
        <w:tc>
          <w:tcPr>
            <w:tcW w:w="1884" w:type="dxa"/>
          </w:tcPr>
          <w:p w:rsidR="00F61EEB" w:rsidRPr="00F61EEB" w:rsidRDefault="00F61EEB" w:rsidP="0089262F">
            <w:pPr>
              <w:jc w:val="center"/>
              <w:rPr>
                <w:b w:val="0"/>
              </w:rPr>
            </w:pPr>
            <w:r w:rsidRPr="00F61EEB">
              <w:t xml:space="preserve">Inegalitățile de gen </w:t>
            </w:r>
          </w:p>
        </w:tc>
        <w:tc>
          <w:tcPr>
            <w:tcW w:w="2742" w:type="dxa"/>
          </w:tcPr>
          <w:p w:rsidR="00F61EEB" w:rsidRPr="00F61EEB" w:rsidRDefault="00F61EEB" w:rsidP="0089262F">
            <w:pPr>
              <w:jc w:val="center"/>
            </w:pPr>
            <w:r>
              <w:t xml:space="preserve">Relevanța de gen </w:t>
            </w:r>
          </w:p>
          <w:p w:rsidR="00F61EEB" w:rsidRPr="00F61EEB" w:rsidRDefault="00F61EEB" w:rsidP="0089262F">
            <w:pPr>
              <w:jc w:val="center"/>
              <w:rPr>
                <w:b w:val="0"/>
              </w:rPr>
            </w:pPr>
          </w:p>
        </w:tc>
        <w:tc>
          <w:tcPr>
            <w:tcW w:w="2742" w:type="dxa"/>
          </w:tcPr>
          <w:p w:rsidR="00F61EEB" w:rsidRPr="00F61EEB" w:rsidRDefault="00F61EEB" w:rsidP="0089262F">
            <w:pPr>
              <w:jc w:val="center"/>
            </w:pPr>
            <w:r>
              <w:t xml:space="preserve">Punctajul pentru relevanța de gen </w:t>
            </w:r>
            <w:r w:rsidRPr="00F61EEB">
              <w:t xml:space="preserve"> </w:t>
            </w:r>
          </w:p>
        </w:tc>
      </w:tr>
      <w:tr w:rsidR="00F61EEB" w:rsidRPr="00297208" w:rsidTr="0089262F">
        <w:tc>
          <w:tcPr>
            <w:tcW w:w="1884" w:type="dxa"/>
          </w:tcPr>
          <w:p w:rsidR="00F61EEB" w:rsidRPr="00F61EEB" w:rsidRDefault="00F61EEB" w:rsidP="0089262F">
            <w:pPr>
              <w:jc w:val="both"/>
            </w:pPr>
            <w:r w:rsidRPr="00F61EEB">
              <w:t>0%</w:t>
            </w:r>
          </w:p>
        </w:tc>
        <w:tc>
          <w:tcPr>
            <w:tcW w:w="2742" w:type="dxa"/>
          </w:tcPr>
          <w:p w:rsidR="00F61EEB" w:rsidRPr="00F61EEB" w:rsidRDefault="00F61EEB" w:rsidP="0089262F">
            <w:pPr>
              <w:jc w:val="both"/>
            </w:pPr>
            <w:r>
              <w:t>Nu este relevant</w:t>
            </w:r>
          </w:p>
        </w:tc>
        <w:tc>
          <w:tcPr>
            <w:tcW w:w="2742" w:type="dxa"/>
          </w:tcPr>
          <w:p w:rsidR="00F61EEB" w:rsidRPr="00F61EEB" w:rsidRDefault="00F61EEB" w:rsidP="0089262F">
            <w:pPr>
              <w:jc w:val="center"/>
            </w:pPr>
            <w:r w:rsidRPr="00F61EEB">
              <w:t>0</w:t>
            </w:r>
          </w:p>
        </w:tc>
      </w:tr>
      <w:tr w:rsidR="00F61EEB" w:rsidRPr="00297208" w:rsidTr="0089262F">
        <w:tc>
          <w:tcPr>
            <w:tcW w:w="1884" w:type="dxa"/>
          </w:tcPr>
          <w:p w:rsidR="00F61EEB" w:rsidRPr="00F61EEB" w:rsidRDefault="00F61EEB" w:rsidP="0089262F">
            <w:pPr>
              <w:jc w:val="both"/>
            </w:pPr>
            <w:r w:rsidRPr="00F61EEB">
              <w:t xml:space="preserve">1 – 4% </w:t>
            </w:r>
          </w:p>
        </w:tc>
        <w:tc>
          <w:tcPr>
            <w:tcW w:w="2742" w:type="dxa"/>
          </w:tcPr>
          <w:p w:rsidR="00F61EEB" w:rsidRPr="00F61EEB" w:rsidRDefault="00F61EEB" w:rsidP="0089262F">
            <w:pPr>
              <w:jc w:val="both"/>
            </w:pPr>
            <w:r>
              <w:t>Relevanță slabă</w:t>
            </w:r>
            <w:r w:rsidRPr="00F61EEB">
              <w:t xml:space="preserve"> </w:t>
            </w:r>
          </w:p>
        </w:tc>
        <w:tc>
          <w:tcPr>
            <w:tcW w:w="2742" w:type="dxa"/>
          </w:tcPr>
          <w:p w:rsidR="00F61EEB" w:rsidRPr="00F61EEB" w:rsidRDefault="00F61EEB" w:rsidP="0089262F">
            <w:pPr>
              <w:jc w:val="center"/>
            </w:pPr>
            <w:r w:rsidRPr="00F61EEB">
              <w:t>0,5 - 1</w:t>
            </w:r>
          </w:p>
        </w:tc>
      </w:tr>
      <w:tr w:rsidR="00F61EEB" w:rsidRPr="00297208" w:rsidTr="0089262F">
        <w:tc>
          <w:tcPr>
            <w:tcW w:w="1884" w:type="dxa"/>
          </w:tcPr>
          <w:p w:rsidR="00F61EEB" w:rsidRPr="00F61EEB" w:rsidRDefault="00F61EEB" w:rsidP="0089262F">
            <w:pPr>
              <w:jc w:val="both"/>
            </w:pPr>
            <w:r w:rsidRPr="00F61EEB">
              <w:t>5 – 9%</w:t>
            </w:r>
          </w:p>
        </w:tc>
        <w:tc>
          <w:tcPr>
            <w:tcW w:w="2742" w:type="dxa"/>
          </w:tcPr>
          <w:p w:rsidR="00F61EEB" w:rsidRPr="00F61EEB" w:rsidRDefault="00F61EEB" w:rsidP="0089262F">
            <w:pPr>
              <w:jc w:val="both"/>
            </w:pPr>
            <w:r>
              <w:t xml:space="preserve">Relevant </w:t>
            </w:r>
          </w:p>
        </w:tc>
        <w:tc>
          <w:tcPr>
            <w:tcW w:w="2742" w:type="dxa"/>
          </w:tcPr>
          <w:p w:rsidR="00F61EEB" w:rsidRPr="00F61EEB" w:rsidRDefault="00F61EEB" w:rsidP="0089262F">
            <w:pPr>
              <w:jc w:val="center"/>
            </w:pPr>
            <w:r w:rsidRPr="00F61EEB">
              <w:t xml:space="preserve">1 - 2 </w:t>
            </w:r>
          </w:p>
        </w:tc>
      </w:tr>
      <w:tr w:rsidR="00F61EEB" w:rsidRPr="00297208" w:rsidTr="0089262F">
        <w:trPr>
          <w:trHeight w:val="59"/>
        </w:trPr>
        <w:tc>
          <w:tcPr>
            <w:tcW w:w="1884" w:type="dxa"/>
          </w:tcPr>
          <w:p w:rsidR="00F61EEB" w:rsidRPr="00F61EEB" w:rsidRDefault="00F61EEB" w:rsidP="0089262F">
            <w:pPr>
              <w:jc w:val="both"/>
            </w:pPr>
            <w:r w:rsidRPr="00F61EEB">
              <w:t>10 – 19%</w:t>
            </w:r>
          </w:p>
        </w:tc>
        <w:tc>
          <w:tcPr>
            <w:tcW w:w="2742" w:type="dxa"/>
          </w:tcPr>
          <w:p w:rsidR="00F61EEB" w:rsidRPr="00F61EEB" w:rsidRDefault="00F61EEB" w:rsidP="0089262F">
            <w:pPr>
              <w:jc w:val="both"/>
            </w:pPr>
            <w:r>
              <w:t xml:space="preserve">Relevanță semnificativă </w:t>
            </w:r>
          </w:p>
        </w:tc>
        <w:tc>
          <w:tcPr>
            <w:tcW w:w="2742" w:type="dxa"/>
          </w:tcPr>
          <w:p w:rsidR="00F61EEB" w:rsidRPr="00F61EEB" w:rsidRDefault="00F61EEB" w:rsidP="0089262F">
            <w:pPr>
              <w:jc w:val="center"/>
            </w:pPr>
            <w:r w:rsidRPr="00F61EEB">
              <w:t>2 -3</w:t>
            </w:r>
          </w:p>
        </w:tc>
      </w:tr>
      <w:tr w:rsidR="00F61EEB" w:rsidRPr="00297208" w:rsidTr="0089262F">
        <w:tc>
          <w:tcPr>
            <w:tcW w:w="1884" w:type="dxa"/>
          </w:tcPr>
          <w:p w:rsidR="00F61EEB" w:rsidRPr="00F61EEB" w:rsidRDefault="00F61EEB" w:rsidP="0089262F">
            <w:pPr>
              <w:jc w:val="both"/>
            </w:pPr>
            <w:r w:rsidRPr="00F61EEB">
              <w:t>20% +</w:t>
            </w:r>
          </w:p>
        </w:tc>
        <w:tc>
          <w:tcPr>
            <w:tcW w:w="2742" w:type="dxa"/>
          </w:tcPr>
          <w:p w:rsidR="00F61EEB" w:rsidRPr="00F61EEB" w:rsidRDefault="00F61EEB" w:rsidP="0089262F">
            <w:pPr>
              <w:jc w:val="both"/>
            </w:pPr>
            <w:r>
              <w:t>Relevanță sporită</w:t>
            </w:r>
            <w:r w:rsidRPr="00F61EEB">
              <w:t xml:space="preserve"> </w:t>
            </w:r>
          </w:p>
        </w:tc>
        <w:tc>
          <w:tcPr>
            <w:tcW w:w="2742" w:type="dxa"/>
          </w:tcPr>
          <w:p w:rsidR="00F61EEB" w:rsidRPr="00F61EEB" w:rsidRDefault="00F61EEB" w:rsidP="0089262F">
            <w:pPr>
              <w:jc w:val="center"/>
            </w:pPr>
            <w:r w:rsidRPr="00F61EEB">
              <w:t>3 - 4</w:t>
            </w:r>
          </w:p>
        </w:tc>
      </w:tr>
    </w:tbl>
    <w:p w:rsidR="00F61EEB" w:rsidRDefault="00F61EEB" w:rsidP="00B9725F">
      <w:pPr>
        <w:tabs>
          <w:tab w:val="left" w:pos="2430"/>
        </w:tabs>
        <w:spacing w:after="0" w:line="240" w:lineRule="auto"/>
        <w:jc w:val="both"/>
      </w:pPr>
    </w:p>
    <w:p w:rsidR="00F61EEB" w:rsidRPr="00B9725F" w:rsidRDefault="00F61EEB" w:rsidP="00980009">
      <w:pPr>
        <w:tabs>
          <w:tab w:val="left" w:pos="2430"/>
        </w:tabs>
        <w:spacing w:after="0" w:line="240" w:lineRule="auto"/>
        <w:jc w:val="both"/>
      </w:pPr>
      <w:r w:rsidRPr="00F61EEB">
        <w:rPr>
          <w:b/>
        </w:rPr>
        <w:t xml:space="preserve">Gradul de integrare a nivelului de gen este măsurat utilizând un cadru de </w:t>
      </w:r>
      <w:r w:rsidR="006B37FF">
        <w:rPr>
          <w:b/>
        </w:rPr>
        <w:t xml:space="preserve">apreciere </w:t>
      </w:r>
      <w:r w:rsidRPr="00F61EEB">
        <w:rPr>
          <w:b/>
        </w:rPr>
        <w:t>similar.</w:t>
      </w:r>
      <w:r w:rsidRPr="00F61EEB">
        <w:t xml:space="preserve"> Conținutul fiecăre</w:t>
      </w:r>
      <w:r w:rsidR="00980009">
        <w:t>i lecții va fi evaluat și punctat utilizând criteriile</w:t>
      </w:r>
      <w:r w:rsidRPr="00F61EEB">
        <w:t xml:space="preserve"> descris în tabelul de mai jos.</w:t>
      </w:r>
    </w:p>
    <w:p w:rsidR="00980009" w:rsidRDefault="00980009">
      <w:pPr>
        <w:tabs>
          <w:tab w:val="left" w:pos="2430"/>
        </w:tabs>
        <w:spacing w:after="0" w:line="240" w:lineRule="auto"/>
        <w:jc w:val="both"/>
      </w:pPr>
    </w:p>
    <w:tbl>
      <w:tblPr>
        <w:tblStyle w:val="Style1"/>
        <w:tblW w:w="9464" w:type="dxa"/>
        <w:tblLook w:val="04A0" w:firstRow="1" w:lastRow="0" w:firstColumn="1" w:lastColumn="0" w:noHBand="0" w:noVBand="1"/>
      </w:tblPr>
      <w:tblGrid>
        <w:gridCol w:w="2093"/>
        <w:gridCol w:w="6237"/>
        <w:gridCol w:w="1134"/>
      </w:tblGrid>
      <w:tr w:rsidR="00980009" w:rsidRPr="006B37FF" w:rsidTr="006B37FF">
        <w:trPr>
          <w:cnfStyle w:val="100000000000" w:firstRow="1" w:lastRow="0" w:firstColumn="0" w:lastColumn="0" w:oddVBand="0" w:evenVBand="0" w:oddHBand="0" w:evenHBand="0" w:firstRowFirstColumn="0" w:firstRowLastColumn="0" w:lastRowFirstColumn="0" w:lastRowLastColumn="0"/>
        </w:trPr>
        <w:tc>
          <w:tcPr>
            <w:tcW w:w="2093" w:type="dxa"/>
          </w:tcPr>
          <w:p w:rsidR="00980009" w:rsidRDefault="00980009" w:rsidP="0089262F">
            <w:pPr>
              <w:jc w:val="center"/>
              <w:rPr>
                <w:b w:val="0"/>
              </w:rPr>
            </w:pPr>
            <w:r>
              <w:rPr>
                <w:b w:val="0"/>
              </w:rPr>
              <w:t>Nivelul de in</w:t>
            </w:r>
            <w:r w:rsidRPr="00980009">
              <w:rPr>
                <w:b w:val="0"/>
              </w:rPr>
              <w:t>tegrare a dimensiunii de gen</w:t>
            </w:r>
          </w:p>
          <w:p w:rsidR="00980009" w:rsidRPr="00980009" w:rsidRDefault="00980009" w:rsidP="0089262F">
            <w:pPr>
              <w:jc w:val="center"/>
              <w:rPr>
                <w:b w:val="0"/>
              </w:rPr>
            </w:pPr>
            <w:r w:rsidRPr="00980009">
              <w:rPr>
                <w:b w:val="0"/>
              </w:rPr>
              <w:t xml:space="preserve"> </w:t>
            </w:r>
          </w:p>
        </w:tc>
        <w:tc>
          <w:tcPr>
            <w:tcW w:w="6237" w:type="dxa"/>
          </w:tcPr>
          <w:p w:rsidR="00980009" w:rsidRPr="006B37FF" w:rsidRDefault="00980009" w:rsidP="0089262F">
            <w:pPr>
              <w:jc w:val="center"/>
              <w:rPr>
                <w:b w:val="0"/>
              </w:rPr>
            </w:pPr>
            <w:r w:rsidRPr="006B37FF">
              <w:rPr>
                <w:b w:val="0"/>
              </w:rPr>
              <w:t xml:space="preserve">Descriere </w:t>
            </w:r>
          </w:p>
        </w:tc>
        <w:tc>
          <w:tcPr>
            <w:tcW w:w="1134" w:type="dxa"/>
          </w:tcPr>
          <w:p w:rsidR="00980009" w:rsidRPr="006B37FF" w:rsidRDefault="00980009" w:rsidP="0089262F">
            <w:pPr>
              <w:jc w:val="center"/>
              <w:rPr>
                <w:b w:val="0"/>
              </w:rPr>
            </w:pPr>
            <w:r w:rsidRPr="006B37FF">
              <w:rPr>
                <w:b w:val="0"/>
              </w:rPr>
              <w:t xml:space="preserve">Punctaj </w:t>
            </w:r>
          </w:p>
        </w:tc>
      </w:tr>
      <w:tr w:rsidR="00980009" w:rsidRPr="006B37FF" w:rsidTr="006B37FF">
        <w:tc>
          <w:tcPr>
            <w:tcW w:w="2093" w:type="dxa"/>
          </w:tcPr>
          <w:p w:rsidR="00980009" w:rsidRPr="00980009" w:rsidRDefault="00980009" w:rsidP="0089262F">
            <w:pPr>
              <w:rPr>
                <w:b/>
              </w:rPr>
            </w:pPr>
          </w:p>
          <w:p w:rsidR="00980009" w:rsidRPr="00980009" w:rsidRDefault="00980009" w:rsidP="0089262F">
            <w:r>
              <w:rPr>
                <w:b/>
              </w:rPr>
              <w:t xml:space="preserve">Nivelul 1: Inegalitate de gen </w:t>
            </w:r>
          </w:p>
          <w:p w:rsidR="00980009" w:rsidRPr="00980009" w:rsidRDefault="00980009" w:rsidP="0089262F">
            <w:pPr>
              <w:rPr>
                <w:b/>
              </w:rPr>
            </w:pPr>
          </w:p>
        </w:tc>
        <w:tc>
          <w:tcPr>
            <w:tcW w:w="6237" w:type="dxa"/>
          </w:tcPr>
          <w:p w:rsidR="00980009" w:rsidRPr="006B37FF" w:rsidRDefault="00980009" w:rsidP="00980009">
            <w:r w:rsidRPr="006B37FF">
              <w:t xml:space="preserve">• Perpetuează inegalitatea de gen prin consolidarea normelor, a rolurilor și a relațiilor inegale dintre sexe. </w:t>
            </w:r>
          </w:p>
          <w:p w:rsidR="00980009" w:rsidRPr="006B37FF" w:rsidRDefault="00980009" w:rsidP="00980009">
            <w:r w:rsidRPr="006B37FF">
              <w:t xml:space="preserve">• Privilegiază bărbați asupra femeilor (sau invers) </w:t>
            </w:r>
          </w:p>
          <w:p w:rsidR="00980009" w:rsidRPr="006B37FF" w:rsidRDefault="00980009" w:rsidP="00980009">
            <w:r w:rsidRPr="006B37FF">
              <w:t xml:space="preserve">• Deseori duce la faptul că unul din sexe care se bucură de mai </w:t>
            </w:r>
            <w:r w:rsidRPr="006B37FF">
              <w:lastRenderedPageBreak/>
              <w:t>multe drepturi sau oportunități decât celălalt.</w:t>
            </w:r>
          </w:p>
          <w:p w:rsidR="00980009" w:rsidRPr="006B37FF" w:rsidRDefault="00980009" w:rsidP="00980009"/>
        </w:tc>
        <w:tc>
          <w:tcPr>
            <w:tcW w:w="1134" w:type="dxa"/>
          </w:tcPr>
          <w:p w:rsidR="00980009" w:rsidRPr="006B37FF" w:rsidRDefault="00980009" w:rsidP="0089262F">
            <w:pPr>
              <w:jc w:val="center"/>
              <w:rPr>
                <w:b/>
              </w:rPr>
            </w:pPr>
          </w:p>
          <w:p w:rsidR="00980009" w:rsidRPr="006B37FF" w:rsidRDefault="00980009" w:rsidP="0089262F">
            <w:pPr>
              <w:jc w:val="center"/>
              <w:rPr>
                <w:b/>
              </w:rPr>
            </w:pPr>
          </w:p>
          <w:p w:rsidR="00980009" w:rsidRPr="006B37FF" w:rsidRDefault="00980009" w:rsidP="0089262F">
            <w:pPr>
              <w:jc w:val="center"/>
              <w:rPr>
                <w:b/>
              </w:rPr>
            </w:pPr>
            <w:r w:rsidRPr="006B37FF">
              <w:rPr>
                <w:b/>
              </w:rPr>
              <w:t>0</w:t>
            </w:r>
          </w:p>
        </w:tc>
      </w:tr>
      <w:tr w:rsidR="00980009" w:rsidRPr="00297208" w:rsidTr="006B37FF">
        <w:tc>
          <w:tcPr>
            <w:tcW w:w="2093" w:type="dxa"/>
          </w:tcPr>
          <w:p w:rsidR="00980009" w:rsidRPr="00980009" w:rsidRDefault="00980009" w:rsidP="0089262F">
            <w:pPr>
              <w:rPr>
                <w:b/>
              </w:rPr>
            </w:pPr>
          </w:p>
          <w:p w:rsidR="00980009" w:rsidRPr="00980009" w:rsidRDefault="002A02C2" w:rsidP="0089262F">
            <w:r>
              <w:rPr>
                <w:b/>
              </w:rPr>
              <w:t xml:space="preserve">Nivelul 2: Ignoră dimensiunea egalității de gen </w:t>
            </w:r>
          </w:p>
          <w:p w:rsidR="00980009" w:rsidRPr="00980009" w:rsidRDefault="00980009" w:rsidP="0089262F">
            <w:pPr>
              <w:rPr>
                <w:b/>
              </w:rPr>
            </w:pPr>
          </w:p>
        </w:tc>
        <w:tc>
          <w:tcPr>
            <w:tcW w:w="6237" w:type="dxa"/>
          </w:tcPr>
          <w:p w:rsidR="002A02C2" w:rsidRDefault="002A02C2" w:rsidP="002A02C2">
            <w:r w:rsidRPr="002A02C2">
              <w:t xml:space="preserve">• Ignoră normele, rolurile și relațiile de gen </w:t>
            </w:r>
          </w:p>
          <w:p w:rsidR="002A02C2" w:rsidRDefault="002A02C2" w:rsidP="002A02C2">
            <w:r w:rsidRPr="002A02C2">
              <w:t>• De foarte multe ori consolidează di</w:t>
            </w:r>
            <w:r>
              <w:t>scriminarea de gen prin omisiune;</w:t>
            </w:r>
          </w:p>
          <w:p w:rsidR="002A02C2" w:rsidRDefault="002A02C2" w:rsidP="002A02C2">
            <w:r w:rsidRPr="002A02C2">
              <w:t xml:space="preserve"> • Ignoră diferențele în ceea ce privește oportunitățile și alocarea res</w:t>
            </w:r>
            <w:r>
              <w:t>urselor pentru femei și bărbați;</w:t>
            </w:r>
          </w:p>
          <w:p w:rsidR="00A93236" w:rsidRPr="00980009" w:rsidRDefault="002A02C2" w:rsidP="002A02C2">
            <w:r w:rsidRPr="002A02C2">
              <w:t xml:space="preserve">• Deseori </w:t>
            </w:r>
            <w:r w:rsidR="00A93236">
              <w:t xml:space="preserve"> este </w:t>
            </w:r>
            <w:r w:rsidRPr="002A02C2">
              <w:t>construit pe baza principiului "echitabil", tratându-i pe toți la fel.</w:t>
            </w:r>
          </w:p>
        </w:tc>
        <w:tc>
          <w:tcPr>
            <w:tcW w:w="1134" w:type="dxa"/>
          </w:tcPr>
          <w:p w:rsidR="00980009" w:rsidRPr="00297208" w:rsidRDefault="00980009" w:rsidP="0089262F">
            <w:pPr>
              <w:jc w:val="center"/>
              <w:rPr>
                <w:b/>
                <w:lang w:val="en-US"/>
              </w:rPr>
            </w:pPr>
          </w:p>
          <w:p w:rsidR="00980009" w:rsidRPr="00297208" w:rsidRDefault="00980009" w:rsidP="0089262F">
            <w:pPr>
              <w:jc w:val="center"/>
              <w:rPr>
                <w:b/>
                <w:lang w:val="en-US"/>
              </w:rPr>
            </w:pPr>
          </w:p>
          <w:p w:rsidR="00980009" w:rsidRPr="00297208" w:rsidRDefault="00980009" w:rsidP="0089262F">
            <w:pPr>
              <w:jc w:val="center"/>
              <w:rPr>
                <w:b/>
                <w:lang w:val="en-US"/>
              </w:rPr>
            </w:pPr>
            <w:r w:rsidRPr="00297208">
              <w:rPr>
                <w:b/>
                <w:lang w:val="en-US"/>
              </w:rPr>
              <w:t>0,5 - 1</w:t>
            </w:r>
          </w:p>
          <w:p w:rsidR="00980009" w:rsidRPr="00297208" w:rsidRDefault="00980009" w:rsidP="0089262F">
            <w:pPr>
              <w:jc w:val="center"/>
              <w:rPr>
                <w:b/>
                <w:lang w:val="en-US"/>
              </w:rPr>
            </w:pPr>
          </w:p>
        </w:tc>
      </w:tr>
      <w:tr w:rsidR="00980009" w:rsidRPr="00297208" w:rsidTr="006B37FF">
        <w:tc>
          <w:tcPr>
            <w:tcW w:w="2093" w:type="dxa"/>
          </w:tcPr>
          <w:p w:rsidR="00980009" w:rsidRPr="00980009" w:rsidRDefault="00980009" w:rsidP="0089262F">
            <w:pPr>
              <w:rPr>
                <w:b/>
              </w:rPr>
            </w:pPr>
          </w:p>
          <w:p w:rsidR="00980009" w:rsidRPr="00980009" w:rsidRDefault="00980009" w:rsidP="0089262F">
            <w:pPr>
              <w:rPr>
                <w:b/>
              </w:rPr>
            </w:pPr>
          </w:p>
          <w:p w:rsidR="00980009" w:rsidRPr="00980009" w:rsidRDefault="00A93236" w:rsidP="0089262F">
            <w:r>
              <w:rPr>
                <w:b/>
              </w:rPr>
              <w:t xml:space="preserve">Nivelul 3: Sensibil la dimensiunea de gen </w:t>
            </w:r>
          </w:p>
          <w:p w:rsidR="00980009" w:rsidRPr="00980009" w:rsidRDefault="00980009" w:rsidP="0089262F">
            <w:pPr>
              <w:rPr>
                <w:b/>
              </w:rPr>
            </w:pPr>
          </w:p>
        </w:tc>
        <w:tc>
          <w:tcPr>
            <w:tcW w:w="6237" w:type="dxa"/>
          </w:tcPr>
          <w:p w:rsidR="00A93236" w:rsidRDefault="00A93236" w:rsidP="00A93236">
            <w:r w:rsidRPr="00A93236">
              <w:t>• Consideră normel</w:t>
            </w:r>
            <w:r>
              <w:t>e, rolurile și relațiile de gen;</w:t>
            </w:r>
          </w:p>
          <w:p w:rsidR="00A93236" w:rsidRDefault="00A93236" w:rsidP="00A93236">
            <w:r w:rsidRPr="00A93236">
              <w:t>• Are o abordare foarte individuală în evaluarea nevoilor,</w:t>
            </w:r>
            <w:r>
              <w:t xml:space="preserve"> aptitudinilor și capacităților;</w:t>
            </w:r>
          </w:p>
          <w:p w:rsidR="00A93236" w:rsidRDefault="00A93236" w:rsidP="00A93236">
            <w:r w:rsidRPr="00A93236">
              <w:t xml:space="preserve"> • Soluționează într-o oarecare măsură inegalitatea generată de norme, roluri sau relații inegale</w:t>
            </w:r>
            <w:r>
              <w:t>;</w:t>
            </w:r>
          </w:p>
          <w:p w:rsidR="00A93236" w:rsidRPr="00A93236" w:rsidRDefault="00A93236" w:rsidP="00A93236">
            <w:r w:rsidRPr="00A93236">
              <w:t xml:space="preserve"> • Indică gradul de conștientizare a genului, deși adesea nu se dezvoltă o abordare sistematică de remediere.</w:t>
            </w:r>
          </w:p>
        </w:tc>
        <w:tc>
          <w:tcPr>
            <w:tcW w:w="1134" w:type="dxa"/>
          </w:tcPr>
          <w:p w:rsidR="00980009" w:rsidRPr="00297208" w:rsidRDefault="00980009" w:rsidP="0089262F">
            <w:pPr>
              <w:jc w:val="center"/>
              <w:rPr>
                <w:b/>
                <w:lang w:val="en-US"/>
              </w:rPr>
            </w:pPr>
          </w:p>
          <w:p w:rsidR="00980009" w:rsidRPr="00297208" w:rsidRDefault="00980009" w:rsidP="0089262F">
            <w:pPr>
              <w:jc w:val="center"/>
              <w:rPr>
                <w:b/>
                <w:lang w:val="en-US"/>
              </w:rPr>
            </w:pPr>
          </w:p>
          <w:p w:rsidR="00980009" w:rsidRPr="00297208" w:rsidRDefault="00980009" w:rsidP="0089262F">
            <w:pPr>
              <w:jc w:val="center"/>
              <w:rPr>
                <w:b/>
                <w:lang w:val="en-US"/>
              </w:rPr>
            </w:pPr>
          </w:p>
          <w:p w:rsidR="00980009" w:rsidRPr="00297208" w:rsidRDefault="00980009" w:rsidP="0089262F">
            <w:pPr>
              <w:jc w:val="center"/>
              <w:rPr>
                <w:b/>
                <w:lang w:val="en-US"/>
              </w:rPr>
            </w:pPr>
            <w:r w:rsidRPr="00297208">
              <w:rPr>
                <w:b/>
                <w:lang w:val="en-US"/>
              </w:rPr>
              <w:t>1 - 2</w:t>
            </w:r>
          </w:p>
        </w:tc>
      </w:tr>
      <w:tr w:rsidR="00980009" w:rsidRPr="00297208" w:rsidTr="006B37FF">
        <w:tc>
          <w:tcPr>
            <w:tcW w:w="2093" w:type="dxa"/>
          </w:tcPr>
          <w:p w:rsidR="00980009" w:rsidRPr="00980009" w:rsidRDefault="00980009" w:rsidP="0089262F">
            <w:pPr>
              <w:rPr>
                <w:b/>
              </w:rPr>
            </w:pPr>
          </w:p>
          <w:p w:rsidR="00980009" w:rsidRPr="00980009" w:rsidRDefault="00980009" w:rsidP="0089262F">
            <w:pPr>
              <w:rPr>
                <w:b/>
              </w:rPr>
            </w:pPr>
          </w:p>
          <w:p w:rsidR="00980009" w:rsidRPr="00980009" w:rsidRDefault="00980009" w:rsidP="0089262F">
            <w:pPr>
              <w:rPr>
                <w:b/>
              </w:rPr>
            </w:pPr>
          </w:p>
          <w:p w:rsidR="00980009" w:rsidRPr="00980009" w:rsidRDefault="00A93236" w:rsidP="0089262F">
            <w:r>
              <w:rPr>
                <w:b/>
              </w:rPr>
              <w:t xml:space="preserve">Nivelul 4: Abordare specifică de gen </w:t>
            </w:r>
          </w:p>
          <w:p w:rsidR="00980009" w:rsidRPr="00980009" w:rsidRDefault="00980009" w:rsidP="0089262F">
            <w:pPr>
              <w:rPr>
                <w:b/>
              </w:rPr>
            </w:pPr>
          </w:p>
        </w:tc>
        <w:tc>
          <w:tcPr>
            <w:tcW w:w="6237" w:type="dxa"/>
          </w:tcPr>
          <w:p w:rsidR="00A93236" w:rsidRDefault="00A93236" w:rsidP="00A93236">
            <w:r w:rsidRPr="00A93236">
              <w:t>• Consideră normele de gen, rolurile și relațiile dintre femei și bărbați și modul în care acestea afectează accesul și controlul asupra oportunităților</w:t>
            </w:r>
            <w:r>
              <w:t>;</w:t>
            </w:r>
          </w:p>
          <w:p w:rsidR="00A93236" w:rsidRDefault="00A93236" w:rsidP="00A93236">
            <w:r w:rsidRPr="00A93236">
              <w:t xml:space="preserve"> • Consideră nevoile specifice ale femeilor și bărbaților</w:t>
            </w:r>
            <w:r>
              <w:t>;</w:t>
            </w:r>
          </w:p>
          <w:p w:rsidR="00A93236" w:rsidRPr="00980009" w:rsidRDefault="00A93236" w:rsidP="00A93236">
            <w:r w:rsidRPr="00A93236">
              <w:t xml:space="preserve"> • </w:t>
            </w:r>
            <w:r>
              <w:t xml:space="preserve">Abordează în mod intenționat </w:t>
            </w:r>
            <w:r w:rsidRPr="00A93236">
              <w:t xml:space="preserve"> un anumit grup de femei sau bărbați pentru a atinge anumite obiective de politică sau program sau pentru a </w:t>
            </w:r>
            <w:r>
              <w:t xml:space="preserve">remedia inegalitățile de gen. </w:t>
            </w:r>
          </w:p>
        </w:tc>
        <w:tc>
          <w:tcPr>
            <w:tcW w:w="1134" w:type="dxa"/>
          </w:tcPr>
          <w:p w:rsidR="00980009" w:rsidRPr="00297208" w:rsidRDefault="00980009" w:rsidP="0089262F">
            <w:pPr>
              <w:jc w:val="center"/>
              <w:rPr>
                <w:b/>
                <w:lang w:val="en-US"/>
              </w:rPr>
            </w:pPr>
          </w:p>
          <w:p w:rsidR="00980009" w:rsidRPr="00297208" w:rsidRDefault="00980009" w:rsidP="0089262F">
            <w:pPr>
              <w:jc w:val="center"/>
              <w:rPr>
                <w:b/>
                <w:lang w:val="en-US"/>
              </w:rPr>
            </w:pPr>
          </w:p>
          <w:p w:rsidR="00980009" w:rsidRPr="00297208" w:rsidRDefault="00980009" w:rsidP="0089262F">
            <w:pPr>
              <w:jc w:val="center"/>
              <w:rPr>
                <w:b/>
                <w:lang w:val="en-US"/>
              </w:rPr>
            </w:pPr>
          </w:p>
          <w:p w:rsidR="00980009" w:rsidRPr="00297208" w:rsidRDefault="00980009" w:rsidP="0089262F">
            <w:pPr>
              <w:jc w:val="center"/>
              <w:rPr>
                <w:b/>
                <w:lang w:val="en-US"/>
              </w:rPr>
            </w:pPr>
            <w:r w:rsidRPr="00297208">
              <w:rPr>
                <w:b/>
                <w:lang w:val="en-US"/>
              </w:rPr>
              <w:t>2 -3</w:t>
            </w:r>
          </w:p>
        </w:tc>
      </w:tr>
      <w:tr w:rsidR="00980009" w:rsidRPr="00297208" w:rsidTr="006B37FF">
        <w:tc>
          <w:tcPr>
            <w:tcW w:w="2093" w:type="dxa"/>
          </w:tcPr>
          <w:p w:rsidR="00980009" w:rsidRPr="00980009" w:rsidRDefault="00980009" w:rsidP="0089262F">
            <w:pPr>
              <w:rPr>
                <w:b/>
              </w:rPr>
            </w:pPr>
          </w:p>
          <w:p w:rsidR="00980009" w:rsidRPr="00980009" w:rsidRDefault="00980009" w:rsidP="0089262F">
            <w:pPr>
              <w:rPr>
                <w:b/>
              </w:rPr>
            </w:pPr>
          </w:p>
          <w:p w:rsidR="00980009" w:rsidRPr="00980009" w:rsidRDefault="00980009" w:rsidP="0089262F">
            <w:pPr>
              <w:rPr>
                <w:b/>
              </w:rPr>
            </w:pPr>
          </w:p>
          <w:p w:rsidR="00980009" w:rsidRPr="00980009" w:rsidRDefault="00A93236" w:rsidP="0089262F">
            <w:r>
              <w:rPr>
                <w:b/>
              </w:rPr>
              <w:t xml:space="preserve">Nivelul 5: Abordare transformativă de gen </w:t>
            </w:r>
          </w:p>
          <w:p w:rsidR="00980009" w:rsidRPr="00980009" w:rsidRDefault="00980009" w:rsidP="0089262F">
            <w:pPr>
              <w:rPr>
                <w:b/>
              </w:rPr>
            </w:pPr>
          </w:p>
        </w:tc>
        <w:tc>
          <w:tcPr>
            <w:tcW w:w="6237" w:type="dxa"/>
          </w:tcPr>
          <w:p w:rsidR="00A93236" w:rsidRDefault="00A93236" w:rsidP="00A93236">
            <w:r w:rsidRPr="00A93236">
              <w:t>• Consideră normele, rolurile și relațiile de gen pentru femei și bărbați și că acestea afectează accesul la resurse și oportunități și controlul acestora</w:t>
            </w:r>
            <w:r>
              <w:t>;</w:t>
            </w:r>
          </w:p>
          <w:p w:rsidR="00A93236" w:rsidRDefault="00A93236" w:rsidP="00A93236">
            <w:r w:rsidRPr="00A93236">
              <w:t xml:space="preserve"> • Consideră nevoile specifice ale femeilor și bărbaților</w:t>
            </w:r>
            <w:r>
              <w:t>;</w:t>
            </w:r>
          </w:p>
          <w:p w:rsidR="00A93236" w:rsidRDefault="00A93236" w:rsidP="00A93236">
            <w:r>
              <w:t xml:space="preserve"> • Abordează</w:t>
            </w:r>
            <w:r w:rsidRPr="00A93236">
              <w:t xml:space="preserve"> cauzele inechităților bazate pe gen</w:t>
            </w:r>
            <w:r>
              <w:t xml:space="preserve"> într-un mod sistematic;</w:t>
            </w:r>
            <w:r w:rsidRPr="00A93236">
              <w:t xml:space="preserve"> </w:t>
            </w:r>
          </w:p>
          <w:p w:rsidR="00A93236" w:rsidRDefault="00A93236" w:rsidP="00A93236">
            <w:r w:rsidRPr="00A93236">
              <w:t>• Include modalități de a transforma normele, rolurile și relațiile de natură dăunătoare într-un mod consistent și sistematic</w:t>
            </w:r>
            <w:r>
              <w:t>;</w:t>
            </w:r>
          </w:p>
          <w:p w:rsidR="00A93236" w:rsidRPr="00A93236" w:rsidRDefault="00A93236" w:rsidP="00A93236">
            <w:r w:rsidRPr="00A93236">
              <w:t xml:space="preserve"> • </w:t>
            </w:r>
            <w:r>
              <w:t xml:space="preserve">Presupun un obiectiv clar </w:t>
            </w:r>
            <w:r w:rsidRPr="00A93236">
              <w:t>de a promova egalitatea de gen.</w:t>
            </w:r>
          </w:p>
        </w:tc>
        <w:tc>
          <w:tcPr>
            <w:tcW w:w="1134" w:type="dxa"/>
          </w:tcPr>
          <w:p w:rsidR="00980009" w:rsidRPr="00297208" w:rsidRDefault="00980009" w:rsidP="0089262F">
            <w:pPr>
              <w:jc w:val="center"/>
              <w:rPr>
                <w:b/>
                <w:lang w:val="en-US"/>
              </w:rPr>
            </w:pPr>
          </w:p>
          <w:p w:rsidR="00980009" w:rsidRPr="00297208" w:rsidRDefault="00980009" w:rsidP="0089262F">
            <w:pPr>
              <w:jc w:val="center"/>
              <w:rPr>
                <w:b/>
                <w:lang w:val="en-US"/>
              </w:rPr>
            </w:pPr>
          </w:p>
          <w:p w:rsidR="00980009" w:rsidRPr="00297208" w:rsidRDefault="00980009" w:rsidP="0089262F">
            <w:pPr>
              <w:jc w:val="center"/>
              <w:rPr>
                <w:b/>
                <w:lang w:val="en-US"/>
              </w:rPr>
            </w:pPr>
          </w:p>
          <w:p w:rsidR="00980009" w:rsidRPr="00297208" w:rsidRDefault="00980009" w:rsidP="0089262F">
            <w:pPr>
              <w:jc w:val="center"/>
              <w:rPr>
                <w:b/>
                <w:lang w:val="en-US"/>
              </w:rPr>
            </w:pPr>
            <w:r w:rsidRPr="00297208">
              <w:rPr>
                <w:b/>
                <w:lang w:val="en-US"/>
              </w:rPr>
              <w:t xml:space="preserve">3-4 </w:t>
            </w:r>
          </w:p>
        </w:tc>
      </w:tr>
    </w:tbl>
    <w:p w:rsidR="00980009" w:rsidRDefault="00980009">
      <w:pPr>
        <w:tabs>
          <w:tab w:val="left" w:pos="2430"/>
        </w:tabs>
        <w:spacing w:after="0" w:line="240" w:lineRule="auto"/>
        <w:jc w:val="both"/>
      </w:pPr>
    </w:p>
    <w:p w:rsidR="00007F44" w:rsidRDefault="008A37EA">
      <w:pPr>
        <w:tabs>
          <w:tab w:val="left" w:pos="2430"/>
        </w:tabs>
        <w:spacing w:after="0" w:line="240" w:lineRule="auto"/>
        <w:jc w:val="both"/>
      </w:pPr>
      <w:r>
        <w:rPr>
          <w:b/>
          <w:noProof/>
          <w:lang w:eastAsia="ro-RO"/>
        </w:rPr>
        <w:pict>
          <v:shapetype id="_x0000_t32" coordsize="21600,21600" o:spt="32" o:oned="t" path="m,l21600,21600e" filled="f">
            <v:path arrowok="t" fillok="f" o:connecttype="none"/>
            <o:lock v:ext="edit" shapetype="t"/>
          </v:shapetype>
          <v:shape id="_x0000_s1027" type="#_x0000_t32" style="position:absolute;left:0;text-align:left;margin-left:98.8pt;margin-top:122.95pt;width:20.05pt;height:18.8pt;flip:x;z-index:251661312" o:connectortype="straight">
            <v:stroke endarrow="block"/>
          </v:shape>
        </w:pict>
      </w:r>
      <w:r w:rsidR="006B37FF">
        <w:rPr>
          <w:b/>
          <w:noProof/>
          <w:lang w:val="ru-RU" w:eastAsia="ru-RU"/>
        </w:rPr>
        <w:drawing>
          <wp:anchor distT="0" distB="0" distL="114300" distR="114300" simplePos="0" relativeHeight="251658240" behindDoc="1" locked="0" layoutInCell="1" allowOverlap="1">
            <wp:simplePos x="0" y="0"/>
            <wp:positionH relativeFrom="column">
              <wp:posOffset>-52070</wp:posOffset>
            </wp:positionH>
            <wp:positionV relativeFrom="paragraph">
              <wp:posOffset>1279525</wp:posOffset>
            </wp:positionV>
            <wp:extent cx="2771775" cy="2305050"/>
            <wp:effectExtent l="19050" t="0" r="9525" b="0"/>
            <wp:wrapTight wrapText="bothSides">
              <wp:wrapPolygon edited="0">
                <wp:start x="-148" y="0"/>
                <wp:lineTo x="-148" y="21600"/>
                <wp:lineTo x="21674" y="21600"/>
                <wp:lineTo x="21674" y="0"/>
                <wp:lineTo x="-148" y="0"/>
              </wp:wrapPolygon>
            </wp:wrapTight>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007F44" w:rsidRPr="00007F44">
        <w:rPr>
          <w:b/>
        </w:rPr>
        <w:t>Acest raport își va baza evaluarea prin</w:t>
      </w:r>
      <w:r w:rsidR="00007F44">
        <w:rPr>
          <w:b/>
        </w:rPr>
        <w:t xml:space="preserve"> a compara</w:t>
      </w:r>
      <w:r w:rsidR="00007F44" w:rsidRPr="00007F44">
        <w:rPr>
          <w:b/>
        </w:rPr>
        <w:t xml:space="preserve"> decalajului dintre relevanța </w:t>
      </w:r>
      <w:r w:rsidR="00007F44">
        <w:rPr>
          <w:b/>
        </w:rPr>
        <w:t>de gen</w:t>
      </w:r>
      <w:r w:rsidR="00007F44" w:rsidRPr="00007F44">
        <w:rPr>
          <w:b/>
        </w:rPr>
        <w:t xml:space="preserve"> și scorul de integrare a dimensiunii de gen.</w:t>
      </w:r>
      <w:r w:rsidR="00007F44" w:rsidRPr="00007F44">
        <w:t xml:space="preserve"> </w:t>
      </w:r>
      <w:r w:rsidR="00007F44">
        <w:t>Un punctaj</w:t>
      </w:r>
      <w:r w:rsidR="00007F44" w:rsidRPr="00007F44">
        <w:t xml:space="preserve"> pentru fiecare lecție din fiecare manual pent</w:t>
      </w:r>
      <w:r w:rsidR="00007F44">
        <w:t>ru fiecare clasă va fi calculat</w:t>
      </w:r>
      <w:r w:rsidR="00007F44" w:rsidRPr="00007F44">
        <w:t xml:space="preserve"> </w:t>
      </w:r>
      <w:r w:rsidR="00007F44">
        <w:t>în</w:t>
      </w:r>
      <w:r w:rsidR="00007F44" w:rsidRPr="00007F44">
        <w:t xml:space="preserve"> b</w:t>
      </w:r>
      <w:r w:rsidR="00007F44">
        <w:t>aza criteriilor descrise mai sus</w:t>
      </w:r>
      <w:r w:rsidR="00007F44" w:rsidRPr="00007F44">
        <w:t>.</w:t>
      </w:r>
      <w:r w:rsidR="00007F44">
        <w:t xml:space="preserve"> Decalajul de gen va fi calculat </w:t>
      </w:r>
      <w:r w:rsidR="006B37FF">
        <w:t xml:space="preserve">ținând cont de acest punctaj. </w:t>
      </w:r>
      <w:r w:rsidR="00007F44" w:rsidRPr="00007F44">
        <w:t xml:space="preserve"> În contextul acestei evaluări, echipa</w:t>
      </w:r>
      <w:r w:rsidR="006B37FF">
        <w:t xml:space="preserve"> de autori a materialelor </w:t>
      </w:r>
      <w:r w:rsidR="00007F44" w:rsidRPr="00007F44">
        <w:t xml:space="preserve"> ar</w:t>
      </w:r>
      <w:r w:rsidR="006B37FF">
        <w:t xml:space="preserve"> trebui să abordeze un decalaj dintre relevanța și punctajul de</w:t>
      </w:r>
      <w:r w:rsidR="00007F44" w:rsidRPr="00007F44">
        <w:t xml:space="preserve"> integrare a dimensiunii de gen </w:t>
      </w:r>
      <w:r w:rsidR="006B37FF">
        <w:t>care este mai mare de</w:t>
      </w:r>
      <w:r w:rsidR="00007F44" w:rsidRPr="00007F44">
        <w:t xml:space="preserve"> 1 (un</w:t>
      </w:r>
      <w:r w:rsidR="006B37FF">
        <w:t>u</w:t>
      </w:r>
      <w:r w:rsidR="00007F44" w:rsidRPr="00007F44">
        <w:t xml:space="preserve">) punct. </w:t>
      </w:r>
      <w:r w:rsidR="006B37FF">
        <w:t>Figurile prezentate mai jos ilustrează</w:t>
      </w:r>
      <w:r w:rsidR="00007F44" w:rsidRPr="00007F44">
        <w:t xml:space="preserve"> abordarea de bază în evaluarea egalității de gen a materialelor VOCG.</w:t>
      </w:r>
    </w:p>
    <w:p w:rsidR="00474AC5" w:rsidRDefault="008A37EA">
      <w:pPr>
        <w:tabs>
          <w:tab w:val="left" w:pos="2430"/>
        </w:tabs>
        <w:spacing w:after="0" w:line="240" w:lineRule="auto"/>
        <w:jc w:val="both"/>
      </w:pPr>
      <w:r>
        <w:rPr>
          <w:b/>
          <w:noProof/>
          <w:lang w:eastAsia="ro-RO"/>
        </w:rPr>
        <w:pict>
          <v:roundrect id="_x0000_s1028" style="position:absolute;left:0;text-align:left;margin-left:127.2pt;margin-top:20.75pt;width:115.85pt;height:27pt;z-index:251662336" arcsize="10923f">
            <v:textbox>
              <w:txbxContent>
                <w:p w:rsidR="003B3533" w:rsidRPr="00474AC5" w:rsidRDefault="003B3533" w:rsidP="00474AC5">
                  <w:pPr>
                    <w:rPr>
                      <w:sz w:val="20"/>
                      <w:szCs w:val="20"/>
                    </w:rPr>
                  </w:pPr>
                  <w:r w:rsidRPr="00474AC5">
                    <w:rPr>
                      <w:sz w:val="20"/>
                      <w:szCs w:val="20"/>
                    </w:rPr>
                    <w:t xml:space="preserve">Situație </w:t>
                  </w:r>
                  <w:r>
                    <w:rPr>
                      <w:sz w:val="20"/>
                      <w:szCs w:val="20"/>
                    </w:rPr>
                    <w:t>de inegalitate</w:t>
                  </w:r>
                  <w:r w:rsidRPr="00474AC5">
                    <w:rPr>
                      <w:sz w:val="20"/>
                      <w:szCs w:val="20"/>
                    </w:rPr>
                    <w:t xml:space="preserve"> </w:t>
                  </w:r>
                </w:p>
              </w:txbxContent>
            </v:textbox>
          </v:roundrect>
        </w:pict>
      </w:r>
      <w:r>
        <w:rPr>
          <w:b/>
          <w:noProof/>
          <w:lang w:eastAsia="ro-RO"/>
        </w:rPr>
        <w:pict>
          <v:shape id="_x0000_s1029" type="#_x0000_t32" style="position:absolute;left:0;text-align:left;margin-left:142pt;margin-top:47.75pt;width:20.05pt;height:18.8pt;flip:x;z-index:251663360" o:connectortype="straight">
            <v:stroke endarrow="block"/>
          </v:shape>
        </w:pict>
      </w:r>
      <w:r>
        <w:rPr>
          <w:b/>
          <w:noProof/>
          <w:lang w:eastAsia="ro-RO"/>
        </w:rPr>
        <w:pict>
          <v:roundrect id="_x0000_s1026" style="position:absolute;left:0;text-align:left;margin-left:-122.55pt;margin-top:2.25pt;width:104.55pt;height:27pt;z-index:251660288" arcsize="10923f">
            <v:textbox>
              <w:txbxContent>
                <w:p w:rsidR="003B3533" w:rsidRPr="00474AC5" w:rsidRDefault="003B3533" w:rsidP="00474AC5">
                  <w:pPr>
                    <w:rPr>
                      <w:sz w:val="20"/>
                      <w:szCs w:val="20"/>
                    </w:rPr>
                  </w:pPr>
                  <w:r w:rsidRPr="00474AC5">
                    <w:rPr>
                      <w:sz w:val="20"/>
                      <w:szCs w:val="20"/>
                    </w:rPr>
                    <w:t xml:space="preserve">Situație favorabilă </w:t>
                  </w:r>
                </w:p>
              </w:txbxContent>
            </v:textbox>
          </v:roundrect>
        </w:pict>
      </w:r>
      <w:r w:rsidR="006B37FF" w:rsidRPr="006B37FF">
        <w:rPr>
          <w:noProof/>
          <w:lang w:val="ru-RU" w:eastAsia="ru-RU"/>
        </w:rPr>
        <w:drawing>
          <wp:anchor distT="0" distB="0" distL="114300" distR="114300" simplePos="0" relativeHeight="251659264" behindDoc="1" locked="0" layoutInCell="1" allowOverlap="1">
            <wp:simplePos x="0" y="0"/>
            <wp:positionH relativeFrom="column">
              <wp:posOffset>48260</wp:posOffset>
            </wp:positionH>
            <wp:positionV relativeFrom="paragraph">
              <wp:posOffset>85725</wp:posOffset>
            </wp:positionV>
            <wp:extent cx="3095625" cy="2305050"/>
            <wp:effectExtent l="19050" t="0" r="9525" b="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474AC5" w:rsidRPr="00474AC5" w:rsidRDefault="00474AC5" w:rsidP="00474AC5"/>
    <w:p w:rsidR="00474AC5" w:rsidRPr="00474AC5" w:rsidRDefault="00474AC5" w:rsidP="00474AC5"/>
    <w:p w:rsidR="00474AC5" w:rsidRPr="00474AC5" w:rsidRDefault="00474AC5" w:rsidP="00474AC5"/>
    <w:p w:rsidR="00474AC5" w:rsidRPr="00474AC5" w:rsidRDefault="00474AC5" w:rsidP="00474AC5"/>
    <w:p w:rsidR="00474AC5" w:rsidRPr="00474AC5" w:rsidRDefault="00474AC5" w:rsidP="00474AC5"/>
    <w:p w:rsidR="00474AC5" w:rsidRPr="00474AC5" w:rsidRDefault="00474AC5" w:rsidP="00474AC5"/>
    <w:p w:rsidR="006B37FF" w:rsidRDefault="006B37FF" w:rsidP="00474AC5"/>
    <w:p w:rsidR="00474AC5" w:rsidRPr="003B3533" w:rsidRDefault="006925DD" w:rsidP="003B3533">
      <w:pPr>
        <w:pStyle w:val="Titlu1"/>
        <w:spacing w:before="0" w:line="240" w:lineRule="auto"/>
        <w:rPr>
          <w:rFonts w:asciiTheme="minorHAnsi" w:hAnsiTheme="minorHAnsi" w:cstheme="minorHAnsi"/>
        </w:rPr>
      </w:pPr>
      <w:bookmarkStart w:id="3" w:name="_Toc497049314"/>
      <w:r w:rsidRPr="003B3533">
        <w:rPr>
          <w:rFonts w:asciiTheme="minorHAnsi" w:hAnsiTheme="minorHAnsi" w:cstheme="minorHAnsi"/>
        </w:rPr>
        <w:t>III. ANALIZA INEGALITĂȚILOR DE GEN RELEVANTE PROCESULUI DE ORIENTĂRE PROFESIONALĂ ŞI CONSILIERE ÎN CARIERĂ</w:t>
      </w:r>
      <w:bookmarkEnd w:id="3"/>
    </w:p>
    <w:p w:rsidR="004E2DA8" w:rsidRDefault="004E2DA8" w:rsidP="003B3533">
      <w:pPr>
        <w:pStyle w:val="Titlu2"/>
        <w:spacing w:before="0" w:line="240" w:lineRule="auto"/>
        <w:rPr>
          <w:rFonts w:asciiTheme="minorHAnsi" w:hAnsiTheme="minorHAnsi" w:cstheme="minorHAnsi"/>
          <w:i/>
        </w:rPr>
      </w:pPr>
    </w:p>
    <w:p w:rsidR="006925DD" w:rsidRPr="003B3533" w:rsidRDefault="006925DD" w:rsidP="003B3533">
      <w:pPr>
        <w:pStyle w:val="Titlu2"/>
        <w:spacing w:before="0" w:line="240" w:lineRule="auto"/>
        <w:rPr>
          <w:rFonts w:asciiTheme="minorHAnsi" w:hAnsiTheme="minorHAnsi" w:cstheme="minorHAnsi"/>
        </w:rPr>
      </w:pPr>
      <w:bookmarkStart w:id="4" w:name="_Toc497049315"/>
      <w:r w:rsidRPr="003B3533">
        <w:rPr>
          <w:rFonts w:asciiTheme="minorHAnsi" w:hAnsiTheme="minorHAnsi" w:cstheme="minorHAnsi"/>
        </w:rPr>
        <w:t>3.1. Performanța Academică</w:t>
      </w:r>
      <w:bookmarkEnd w:id="4"/>
    </w:p>
    <w:p w:rsidR="006925DD" w:rsidRDefault="006925DD" w:rsidP="003B3533">
      <w:pPr>
        <w:spacing w:after="0" w:line="240" w:lineRule="auto"/>
      </w:pPr>
    </w:p>
    <w:p w:rsidR="006925DD" w:rsidRDefault="006925DD" w:rsidP="003B3533">
      <w:pPr>
        <w:spacing w:after="0" w:line="240" w:lineRule="auto"/>
        <w:jc w:val="both"/>
      </w:pPr>
      <w:r w:rsidRPr="006925DD">
        <w:rPr>
          <w:b/>
        </w:rPr>
        <w:t>În general</w:t>
      </w:r>
      <w:r>
        <w:rPr>
          <w:b/>
        </w:rPr>
        <w:t>, fetele înregistrează</w:t>
      </w:r>
      <w:r w:rsidRPr="006925DD">
        <w:rPr>
          <w:b/>
        </w:rPr>
        <w:t xml:space="preserve"> performanță academică</w:t>
      </w:r>
      <w:r>
        <w:rPr>
          <w:b/>
        </w:rPr>
        <w:t xml:space="preserve"> mai bună</w:t>
      </w:r>
      <w:r w:rsidRPr="006925DD">
        <w:rPr>
          <w:b/>
        </w:rPr>
        <w:t xml:space="preserve"> în comparație cu băieții.</w:t>
      </w:r>
      <w:r w:rsidRPr="006925DD">
        <w:t xml:space="preserve"> Fetele tind să aibă, în medie, scoruri mai bune ale testelor pe toate subiectele cheie, de la lectură la matematică și științe. Acest lucru este confirmat atât de evaluarea națională în rândul elevilor din clasa a IX-a (vezi figura 1), cât și de scorul PISA al OCDE. În evaluarea PISA din 2015, scorul mediu pentru fete a fost de 431, iar scorul pentru băieți a fost de 425, în evaluarea PISA din 2009 scorul diferențelor de gen a fost mai semnificativ.</w:t>
      </w:r>
    </w:p>
    <w:p w:rsidR="006925DD" w:rsidRDefault="004E2DA8" w:rsidP="006925DD">
      <w:pPr>
        <w:spacing w:after="0" w:line="240" w:lineRule="auto"/>
        <w:jc w:val="both"/>
      </w:pPr>
      <w:r>
        <w:rPr>
          <w:noProof/>
          <w:lang w:val="ru-RU" w:eastAsia="ru-RU"/>
        </w:rPr>
        <w:drawing>
          <wp:anchor distT="0" distB="0" distL="114300" distR="114300" simplePos="0" relativeHeight="251664384" behindDoc="1" locked="0" layoutInCell="1" allowOverlap="1">
            <wp:simplePos x="0" y="0"/>
            <wp:positionH relativeFrom="column">
              <wp:posOffset>-4445</wp:posOffset>
            </wp:positionH>
            <wp:positionV relativeFrom="paragraph">
              <wp:posOffset>169545</wp:posOffset>
            </wp:positionV>
            <wp:extent cx="4572000" cy="2219325"/>
            <wp:effectExtent l="19050" t="0" r="19050" b="0"/>
            <wp:wrapTight wrapText="bothSides">
              <wp:wrapPolygon edited="0">
                <wp:start x="-90" y="0"/>
                <wp:lineTo x="-90" y="21507"/>
                <wp:lineTo x="21690" y="21507"/>
                <wp:lineTo x="21690" y="0"/>
                <wp:lineTo x="-90" y="0"/>
              </wp:wrapPolygon>
            </wp:wrapTight>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4E2DA8" w:rsidRDefault="004E2DA8" w:rsidP="006925DD">
      <w:pPr>
        <w:spacing w:after="0" w:line="240" w:lineRule="auto"/>
        <w:jc w:val="both"/>
      </w:pPr>
    </w:p>
    <w:p w:rsidR="004E2DA8" w:rsidRPr="004E2DA8" w:rsidRDefault="004E2DA8" w:rsidP="004E2DA8"/>
    <w:p w:rsidR="004E2DA8" w:rsidRPr="004E2DA8" w:rsidRDefault="004E2DA8" w:rsidP="004E2DA8"/>
    <w:p w:rsidR="004E2DA8" w:rsidRPr="004E2DA8" w:rsidRDefault="004E2DA8" w:rsidP="004E2DA8"/>
    <w:p w:rsidR="004E2DA8" w:rsidRPr="004E2DA8" w:rsidRDefault="004E2DA8" w:rsidP="004E2DA8"/>
    <w:p w:rsidR="004E2DA8" w:rsidRPr="004E2DA8" w:rsidRDefault="004E2DA8" w:rsidP="004E2DA8">
      <w:pPr>
        <w:spacing w:after="0" w:line="240" w:lineRule="auto"/>
      </w:pPr>
    </w:p>
    <w:p w:rsidR="004E2DA8" w:rsidRPr="004E2DA8" w:rsidRDefault="004E2DA8" w:rsidP="004E2DA8">
      <w:pPr>
        <w:spacing w:after="0" w:line="240" w:lineRule="auto"/>
      </w:pPr>
    </w:p>
    <w:p w:rsidR="004E2DA8" w:rsidRDefault="004E2DA8" w:rsidP="004E2DA8">
      <w:pPr>
        <w:spacing w:after="0" w:line="240" w:lineRule="auto"/>
      </w:pPr>
    </w:p>
    <w:p w:rsidR="004E2DA8" w:rsidRDefault="004E2DA8" w:rsidP="004E2DA8">
      <w:pPr>
        <w:spacing w:after="0" w:line="240" w:lineRule="auto"/>
      </w:pPr>
    </w:p>
    <w:p w:rsidR="004E2DA8" w:rsidRPr="004E2DA8" w:rsidRDefault="004E2DA8" w:rsidP="004E2DA8">
      <w:pPr>
        <w:spacing w:after="0" w:line="240" w:lineRule="auto"/>
      </w:pPr>
    </w:p>
    <w:p w:rsidR="006925DD" w:rsidRDefault="004E2DA8" w:rsidP="004E2DA8">
      <w:pPr>
        <w:tabs>
          <w:tab w:val="left" w:pos="2550"/>
        </w:tabs>
        <w:spacing w:after="0" w:line="240" w:lineRule="auto"/>
        <w:rPr>
          <w:i/>
          <w:color w:val="1F497D" w:themeColor="text2"/>
          <w:sz w:val="20"/>
          <w:szCs w:val="20"/>
        </w:rPr>
      </w:pPr>
      <w:r>
        <w:rPr>
          <w:i/>
          <w:color w:val="1F497D" w:themeColor="text2"/>
          <w:sz w:val="20"/>
          <w:szCs w:val="20"/>
        </w:rPr>
        <w:t xml:space="preserve">Figura 1: Punctajul mediu pentru fetele și băieții din clasa IX-a. </w:t>
      </w:r>
    </w:p>
    <w:p w:rsidR="004E2DA8" w:rsidRDefault="004E2DA8" w:rsidP="004E2DA8">
      <w:pPr>
        <w:tabs>
          <w:tab w:val="left" w:pos="2550"/>
        </w:tabs>
        <w:spacing w:after="0" w:line="240" w:lineRule="auto"/>
        <w:rPr>
          <w:i/>
          <w:color w:val="1F497D" w:themeColor="text2"/>
          <w:sz w:val="20"/>
          <w:szCs w:val="20"/>
        </w:rPr>
      </w:pPr>
      <w:r>
        <w:rPr>
          <w:i/>
          <w:color w:val="1F497D" w:themeColor="text2"/>
          <w:sz w:val="20"/>
          <w:szCs w:val="20"/>
        </w:rPr>
        <w:t xml:space="preserve">Sursa: Ministerul Educației, Culturii și Cercetării </w:t>
      </w:r>
    </w:p>
    <w:p w:rsidR="004E2DA8" w:rsidRDefault="004E2DA8" w:rsidP="004E2DA8">
      <w:pPr>
        <w:tabs>
          <w:tab w:val="left" w:pos="2550"/>
        </w:tabs>
        <w:spacing w:after="0" w:line="240" w:lineRule="auto"/>
        <w:jc w:val="both"/>
        <w:rPr>
          <w:b/>
        </w:rPr>
      </w:pPr>
    </w:p>
    <w:p w:rsidR="004E2DA8" w:rsidRDefault="004E2DA8" w:rsidP="004E2DA8">
      <w:pPr>
        <w:tabs>
          <w:tab w:val="left" w:pos="2550"/>
        </w:tabs>
        <w:spacing w:after="0" w:line="240" w:lineRule="auto"/>
        <w:jc w:val="both"/>
      </w:pPr>
      <w:r w:rsidRPr="004E2DA8">
        <w:rPr>
          <w:b/>
        </w:rPr>
        <w:t>Se pare că diferențele de gen în testele academice cresc odată cu vârsta.</w:t>
      </w:r>
      <w:r w:rsidRPr="004E2DA8">
        <w:t xml:space="preserve"> Diferențele de gen în clasa a IX-a sunt mai mari comparativ cu diferențele de gen din clasa a IV-a (în ambele cazuri, fetele au o performanță medie mai bună). Aceasta indică </w:t>
      </w:r>
      <w:r>
        <w:t>asupra</w:t>
      </w:r>
      <w:r w:rsidRPr="004E2DA8">
        <w:t xml:space="preserve"> </w:t>
      </w:r>
      <w:r>
        <w:rPr>
          <w:i/>
        </w:rPr>
        <w:t>socializări</w:t>
      </w:r>
      <w:r w:rsidRPr="004E2DA8">
        <w:rPr>
          <w:i/>
        </w:rPr>
        <w:t xml:space="preserve"> genurilor</w:t>
      </w:r>
      <w:r w:rsidRPr="004E2DA8">
        <w:t xml:space="preserve"> în școală, prin care diferențele de gen devin mai semnificative. </w:t>
      </w:r>
      <w:r>
        <w:t>Aceasta</w:t>
      </w:r>
      <w:r w:rsidRPr="004E2DA8">
        <w:t xml:space="preserve"> înseamnă că </w:t>
      </w:r>
      <w:proofErr w:type="spellStart"/>
      <w:r w:rsidRPr="004E2DA8">
        <w:t>diferenţele</w:t>
      </w:r>
      <w:proofErr w:type="spellEnd"/>
      <w:r w:rsidRPr="004E2DA8">
        <w:t xml:space="preserve"> de gen în </w:t>
      </w:r>
      <w:proofErr w:type="spellStart"/>
      <w:r w:rsidRPr="004E2DA8">
        <w:t>performanţa</w:t>
      </w:r>
      <w:proofErr w:type="spellEnd"/>
      <w:r w:rsidRPr="004E2DA8">
        <w:t xml:space="preserve"> academică nu sunt explicate prin factori obiectivi, ci, mai degrabă, prin faptul că </w:t>
      </w:r>
      <w:proofErr w:type="spellStart"/>
      <w:r w:rsidRPr="004E2DA8">
        <w:t>băieţii</w:t>
      </w:r>
      <w:proofErr w:type="spellEnd"/>
      <w:r w:rsidRPr="004E2DA8">
        <w:t xml:space="preserve"> </w:t>
      </w:r>
      <w:proofErr w:type="spellStart"/>
      <w:r w:rsidRPr="004E2DA8">
        <w:t>şi</w:t>
      </w:r>
      <w:proofErr w:type="spellEnd"/>
      <w:r w:rsidRPr="004E2DA8">
        <w:t xml:space="preserve"> fetele din perioada </w:t>
      </w:r>
      <w:proofErr w:type="spellStart"/>
      <w:r w:rsidRPr="004E2DA8">
        <w:t>şcolară</w:t>
      </w:r>
      <w:proofErr w:type="spellEnd"/>
      <w:r w:rsidRPr="004E2DA8">
        <w:t xml:space="preserve"> </w:t>
      </w:r>
      <w:proofErr w:type="spellStart"/>
      <w:r w:rsidRPr="004E2DA8">
        <w:t>învaţă</w:t>
      </w:r>
      <w:proofErr w:type="spellEnd"/>
      <w:r w:rsidRPr="004E2DA8">
        <w:t xml:space="preserve"> anumite roluri </w:t>
      </w:r>
      <w:proofErr w:type="spellStart"/>
      <w:r w:rsidRPr="004E2DA8">
        <w:t>şi</w:t>
      </w:r>
      <w:proofErr w:type="spellEnd"/>
      <w:r w:rsidRPr="004E2DA8">
        <w:t xml:space="preserve"> comportamente de gen, care se accentuează odată cu vârsta.</w:t>
      </w:r>
    </w:p>
    <w:p w:rsidR="004E2DA8" w:rsidRDefault="004E2DA8" w:rsidP="004E2DA8">
      <w:pPr>
        <w:tabs>
          <w:tab w:val="left" w:pos="2550"/>
        </w:tabs>
        <w:spacing w:after="0" w:line="240" w:lineRule="auto"/>
        <w:jc w:val="both"/>
      </w:pPr>
      <w:r>
        <w:rPr>
          <w:noProof/>
          <w:lang w:val="ru-RU" w:eastAsia="ru-RU"/>
        </w:rPr>
        <w:drawing>
          <wp:anchor distT="0" distB="0" distL="114300" distR="114300" simplePos="0" relativeHeight="251665408" behindDoc="1" locked="0" layoutInCell="1" allowOverlap="1">
            <wp:simplePos x="0" y="0"/>
            <wp:positionH relativeFrom="column">
              <wp:posOffset>14605</wp:posOffset>
            </wp:positionH>
            <wp:positionV relativeFrom="paragraph">
              <wp:posOffset>161925</wp:posOffset>
            </wp:positionV>
            <wp:extent cx="4572000" cy="2000250"/>
            <wp:effectExtent l="19050" t="0" r="19050" b="0"/>
            <wp:wrapTight wrapText="bothSides">
              <wp:wrapPolygon edited="0">
                <wp:start x="-90" y="0"/>
                <wp:lineTo x="-90" y="21600"/>
                <wp:lineTo x="21690" y="21600"/>
                <wp:lineTo x="21690" y="0"/>
                <wp:lineTo x="-90" y="0"/>
              </wp:wrapPolygon>
            </wp:wrapTight>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4E2DA8" w:rsidRDefault="004E2DA8" w:rsidP="004E2DA8">
      <w:pPr>
        <w:tabs>
          <w:tab w:val="left" w:pos="2550"/>
        </w:tabs>
        <w:spacing w:after="0" w:line="240" w:lineRule="auto"/>
        <w:jc w:val="both"/>
        <w:rPr>
          <w:i/>
          <w:color w:val="1F497D" w:themeColor="text2"/>
          <w:sz w:val="20"/>
          <w:szCs w:val="20"/>
        </w:rPr>
      </w:pPr>
    </w:p>
    <w:p w:rsidR="004E2DA8" w:rsidRPr="004E2DA8" w:rsidRDefault="004E2DA8" w:rsidP="004E2DA8">
      <w:pPr>
        <w:rPr>
          <w:sz w:val="20"/>
          <w:szCs w:val="20"/>
        </w:rPr>
      </w:pPr>
    </w:p>
    <w:p w:rsidR="004E2DA8" w:rsidRPr="004E2DA8" w:rsidRDefault="004E2DA8" w:rsidP="004E2DA8">
      <w:pPr>
        <w:rPr>
          <w:sz w:val="20"/>
          <w:szCs w:val="20"/>
        </w:rPr>
      </w:pPr>
    </w:p>
    <w:p w:rsidR="004E2DA8" w:rsidRPr="004E2DA8" w:rsidRDefault="004E2DA8" w:rsidP="004E2DA8">
      <w:pPr>
        <w:rPr>
          <w:sz w:val="20"/>
          <w:szCs w:val="20"/>
        </w:rPr>
      </w:pPr>
    </w:p>
    <w:p w:rsidR="004E2DA8" w:rsidRPr="004E2DA8" w:rsidRDefault="004E2DA8" w:rsidP="004E2DA8">
      <w:pPr>
        <w:rPr>
          <w:sz w:val="20"/>
          <w:szCs w:val="20"/>
        </w:rPr>
      </w:pPr>
    </w:p>
    <w:p w:rsidR="004E2DA8" w:rsidRPr="004E2DA8" w:rsidRDefault="004E2DA8" w:rsidP="004E2DA8">
      <w:pPr>
        <w:spacing w:after="0" w:line="240" w:lineRule="auto"/>
        <w:rPr>
          <w:sz w:val="20"/>
          <w:szCs w:val="20"/>
        </w:rPr>
      </w:pPr>
    </w:p>
    <w:p w:rsidR="004E2DA8" w:rsidRPr="004E2DA8" w:rsidRDefault="004E2DA8" w:rsidP="004E2DA8">
      <w:pPr>
        <w:spacing w:after="0" w:line="240" w:lineRule="auto"/>
        <w:rPr>
          <w:sz w:val="20"/>
          <w:szCs w:val="20"/>
        </w:rPr>
      </w:pPr>
    </w:p>
    <w:p w:rsidR="004E2DA8" w:rsidRDefault="004E2DA8" w:rsidP="004E2DA8">
      <w:pPr>
        <w:spacing w:after="0" w:line="240" w:lineRule="auto"/>
        <w:rPr>
          <w:sz w:val="20"/>
          <w:szCs w:val="20"/>
        </w:rPr>
      </w:pPr>
    </w:p>
    <w:p w:rsidR="004E2DA8" w:rsidRDefault="004E2DA8" w:rsidP="004E2DA8">
      <w:pPr>
        <w:spacing w:after="0" w:line="240" w:lineRule="auto"/>
        <w:rPr>
          <w:sz w:val="20"/>
          <w:szCs w:val="20"/>
        </w:rPr>
      </w:pPr>
    </w:p>
    <w:p w:rsidR="004E2DA8" w:rsidRDefault="004E2DA8" w:rsidP="004E2DA8">
      <w:pPr>
        <w:tabs>
          <w:tab w:val="left" w:pos="2550"/>
        </w:tabs>
        <w:spacing w:after="0" w:line="240" w:lineRule="auto"/>
        <w:rPr>
          <w:i/>
          <w:color w:val="1F497D" w:themeColor="text2"/>
          <w:sz w:val="20"/>
          <w:szCs w:val="20"/>
        </w:rPr>
      </w:pPr>
      <w:r>
        <w:rPr>
          <w:i/>
          <w:color w:val="1F497D" w:themeColor="text2"/>
          <w:sz w:val="20"/>
          <w:szCs w:val="20"/>
        </w:rPr>
        <w:t>Figura 2:</w:t>
      </w:r>
      <w:r w:rsidR="007E4ABA">
        <w:rPr>
          <w:i/>
          <w:color w:val="1F497D" w:themeColor="text2"/>
          <w:sz w:val="20"/>
          <w:szCs w:val="20"/>
        </w:rPr>
        <w:t xml:space="preserve"> </w:t>
      </w:r>
      <w:r>
        <w:rPr>
          <w:i/>
          <w:color w:val="1F497D" w:themeColor="text2"/>
          <w:sz w:val="20"/>
          <w:szCs w:val="20"/>
        </w:rPr>
        <w:t xml:space="preserve">Diferențele de gen în punctajul pentru fete și băieți în clasele a IX-a și IV-a </w:t>
      </w:r>
    </w:p>
    <w:p w:rsidR="004E2DA8" w:rsidRDefault="004E2DA8" w:rsidP="004E2DA8">
      <w:pPr>
        <w:spacing w:after="0" w:line="240" w:lineRule="auto"/>
        <w:rPr>
          <w:i/>
          <w:color w:val="1F497D" w:themeColor="text2"/>
          <w:sz w:val="20"/>
          <w:szCs w:val="20"/>
        </w:rPr>
      </w:pPr>
      <w:r>
        <w:rPr>
          <w:i/>
          <w:color w:val="1F497D" w:themeColor="text2"/>
          <w:sz w:val="20"/>
          <w:szCs w:val="20"/>
        </w:rPr>
        <w:t>Sursa: Ministerul Educației, Culturii și Cercetării</w:t>
      </w:r>
    </w:p>
    <w:p w:rsidR="0089262F" w:rsidRDefault="0089262F" w:rsidP="004E2DA8">
      <w:pPr>
        <w:spacing w:after="0" w:line="240" w:lineRule="auto"/>
        <w:rPr>
          <w:i/>
          <w:color w:val="1F497D" w:themeColor="text2"/>
          <w:sz w:val="20"/>
          <w:szCs w:val="20"/>
        </w:rPr>
      </w:pPr>
    </w:p>
    <w:p w:rsidR="0089262F" w:rsidRDefault="0089262F" w:rsidP="0089262F">
      <w:pPr>
        <w:spacing w:after="0" w:line="240" w:lineRule="auto"/>
        <w:jc w:val="both"/>
      </w:pPr>
      <w:r w:rsidRPr="0089262F">
        <w:rPr>
          <w:b/>
        </w:rPr>
        <w:t>Fetele petrec mai mult timp studiind în comparație cu băieții.</w:t>
      </w:r>
      <w:r w:rsidRPr="0089262F">
        <w:t xml:space="preserve"> O parte semnificativă a diferenței de gen în performanța academică poate fi explicată prin faptul că</w:t>
      </w:r>
      <w:r>
        <w:t xml:space="preserve"> fetele petrec mai mult timp </w:t>
      </w:r>
      <w:r w:rsidR="00E34F42">
        <w:t>pentru studii</w:t>
      </w:r>
      <w:r w:rsidRPr="0089262F">
        <w:t xml:space="preserve"> - o trăsătură comportamentală care </w:t>
      </w:r>
      <w:r w:rsidR="00E34F42">
        <w:t>este determinată foarte mult de</w:t>
      </w:r>
      <w:r w:rsidRPr="0089262F">
        <w:t xml:space="preserve"> rolurile tradiționale de gen. Conform unei evaluări din partea Ministerului Educației, 35% dintre fetele din clasa a IX-a petrec mai mult de 2 ore pe zi</w:t>
      </w:r>
      <w:r w:rsidR="00E34F42">
        <w:t xml:space="preserve"> studiind</w:t>
      </w:r>
      <w:r w:rsidRPr="0089262F">
        <w:t>, comparativ c</w:t>
      </w:r>
      <w:r w:rsidR="00E34F42">
        <w:t>u 13% dintre băieții din clasa IX-a</w:t>
      </w:r>
      <w:r w:rsidRPr="0089262F">
        <w:t xml:space="preserve">. Aceeași evaluare a arătat </w:t>
      </w:r>
      <w:r>
        <w:t>că 31% dintre băieți nu citesc zilnic deloc</w:t>
      </w:r>
      <w:r w:rsidRPr="0089262F">
        <w:t xml:space="preserve">, </w:t>
      </w:r>
      <w:r w:rsidR="00E34F42">
        <w:t>comparativ cu 10,2% dintre fete. A</w:t>
      </w:r>
      <w:r w:rsidRPr="0089262F">
        <w:t>proximativ 32,8% dintre fete petrec</w:t>
      </w:r>
      <w:r w:rsidR="00E34F42">
        <w:t xml:space="preserve"> între</w:t>
      </w:r>
      <w:r w:rsidRPr="0089262F">
        <w:t xml:space="preserve"> 1-2 ore pe zi</w:t>
      </w:r>
      <w:r w:rsidR="00E34F42">
        <w:t xml:space="preserve"> pentru lectură</w:t>
      </w:r>
      <w:r w:rsidRPr="0089262F">
        <w:t xml:space="preserve">, comparativ cu 14,7% dintre băieți. Interesant este </w:t>
      </w:r>
      <w:r w:rsidR="00E34F42">
        <w:t>faptul că în clasa a IV-a atât</w:t>
      </w:r>
      <w:r w:rsidRPr="0089262F">
        <w:t xml:space="preserve"> fete</w:t>
      </w:r>
      <w:r w:rsidR="00E34F42">
        <w:t>le</w:t>
      </w:r>
      <w:r w:rsidRPr="0089262F">
        <w:t xml:space="preserve"> </w:t>
      </w:r>
      <w:r w:rsidR="00E34F42">
        <w:t xml:space="preserve">cât </w:t>
      </w:r>
      <w:r w:rsidRPr="0089262F">
        <w:t>ș</w:t>
      </w:r>
      <w:r w:rsidR="00E34F42">
        <w:t>i băieți menționează că</w:t>
      </w:r>
      <w:r>
        <w:t xml:space="preserve"> le place</w:t>
      </w:r>
      <w:r w:rsidRPr="0089262F">
        <w:t xml:space="preserve"> lectură (80,8% dintre fete și 61,3% </w:t>
      </w:r>
      <w:r w:rsidR="00E34F42">
        <w:t>din băieți</w:t>
      </w:r>
      <w:r w:rsidRPr="0089262F">
        <w:t xml:space="preserve">) în clasa a IX-a, ponderea băieților </w:t>
      </w:r>
      <w:r w:rsidR="00E34F42">
        <w:t>cărora le place lectura se reduce</w:t>
      </w:r>
      <w:r w:rsidRPr="0089262F">
        <w:t xml:space="preserve"> la 37,6% în timp ce ponderea fetelor </w:t>
      </w:r>
      <w:r w:rsidR="00E34F42">
        <w:t xml:space="preserve">cărora le place lectura </w:t>
      </w:r>
      <w:r w:rsidRPr="0089262F">
        <w:t>rămâne neschimbată. Această constatare este relevantă deoarece o parte semnificativă a modulelor de orientare profesională și de consi</w:t>
      </w:r>
      <w:r w:rsidR="00E34F42">
        <w:t xml:space="preserve">liere în carieră se bazează pe lectura </w:t>
      </w:r>
      <w:r w:rsidRPr="0089262F">
        <w:t>și studiul individual.</w:t>
      </w:r>
    </w:p>
    <w:p w:rsidR="00E34F42" w:rsidRDefault="00E34F42" w:rsidP="0089262F">
      <w:pPr>
        <w:spacing w:after="0" w:line="240" w:lineRule="auto"/>
        <w:jc w:val="both"/>
      </w:pPr>
    </w:p>
    <w:p w:rsidR="00E34F42" w:rsidRDefault="00E34F42" w:rsidP="00E34F42">
      <w:pPr>
        <w:pStyle w:val="Titlu2"/>
        <w:spacing w:before="0" w:line="240" w:lineRule="auto"/>
        <w:rPr>
          <w:rFonts w:asciiTheme="minorHAnsi" w:hAnsiTheme="minorHAnsi" w:cstheme="minorHAnsi"/>
        </w:rPr>
      </w:pPr>
      <w:bookmarkStart w:id="5" w:name="_Toc497049316"/>
      <w:r w:rsidRPr="00E34F42">
        <w:rPr>
          <w:rFonts w:asciiTheme="minorHAnsi" w:hAnsiTheme="minorHAnsi" w:cstheme="minorHAnsi"/>
        </w:rPr>
        <w:t>3.2. Opțiunile de carieră</w:t>
      </w:r>
      <w:bookmarkEnd w:id="5"/>
      <w:r w:rsidRPr="00E34F42">
        <w:rPr>
          <w:rFonts w:asciiTheme="minorHAnsi" w:hAnsiTheme="minorHAnsi" w:cstheme="minorHAnsi"/>
        </w:rPr>
        <w:t xml:space="preserve"> </w:t>
      </w:r>
    </w:p>
    <w:p w:rsidR="00E34F42" w:rsidRDefault="00E34F42" w:rsidP="00E34F42">
      <w:pPr>
        <w:spacing w:after="0" w:line="240" w:lineRule="auto"/>
      </w:pPr>
    </w:p>
    <w:p w:rsidR="00E34F42" w:rsidRDefault="00E34F42" w:rsidP="00E34F42">
      <w:pPr>
        <w:spacing w:after="0" w:line="240" w:lineRule="auto"/>
        <w:jc w:val="both"/>
      </w:pPr>
      <w:r>
        <w:rPr>
          <w:b/>
        </w:rPr>
        <w:t>Rolurile tradiționale de gen, influențează semnificativ modul în care băieții și fetele optează pentru parcursul profesional.</w:t>
      </w:r>
      <w:r w:rsidRPr="00E34F42">
        <w:t xml:space="preserve"> Un sondaj al Biroului Național de Statistică</w:t>
      </w:r>
      <w:r>
        <w:rPr>
          <w:rStyle w:val="Referinnotdesubsol"/>
        </w:rPr>
        <w:footnoteReference w:id="1"/>
      </w:r>
      <w:r w:rsidRPr="00E34F42">
        <w:t xml:space="preserve"> </w:t>
      </w:r>
      <w:r>
        <w:t>a încercat să identifice principalele obiective de viață a tinerilor cu v</w:t>
      </w:r>
      <w:r w:rsidR="00D72328">
        <w:t>â</w:t>
      </w:r>
      <w:r>
        <w:t>r</w:t>
      </w:r>
      <w:r w:rsidR="00D72328">
        <w:t>s</w:t>
      </w:r>
      <w:r>
        <w:t xml:space="preserve">ta </w:t>
      </w:r>
      <w:r w:rsidR="00D72328">
        <w:t>de</w:t>
      </w:r>
      <w:r>
        <w:t xml:space="preserve"> 15-30 de ani</w:t>
      </w:r>
      <w:r w:rsidR="00D72328">
        <w:t>. Răspunsul la această întrebare sunt prezentate</w:t>
      </w:r>
      <w:r w:rsidRPr="00E34F42">
        <w:t xml:space="preserve"> în graficul de mai jos. Se poate observa cu ușurință că viitoarele obiective de viață sunt modelate prin </w:t>
      </w:r>
      <w:r w:rsidR="00D72328">
        <w:t>prisma rolurilor tradiționale</w:t>
      </w:r>
      <w:r w:rsidRPr="00E34F42">
        <w:t xml:space="preserve"> de gen. Băieții tind să se concentreze în mod egal asupra unei cariere</w:t>
      </w:r>
      <w:r w:rsidR="00D72328">
        <w:t xml:space="preserve"> de succes</w:t>
      </w:r>
      <w:r w:rsidRPr="00E34F42">
        <w:t>, a</w:t>
      </w:r>
      <w:r w:rsidR="00D72328">
        <w:t>supra întemeierii unei</w:t>
      </w:r>
      <w:r w:rsidRPr="00E34F42">
        <w:t xml:space="preserve"> familie și a face bani, în timp ce fetele se concentrează în mod covârșitor asupra creării unei familii. Această constatare este importantă pentru a</w:t>
      </w:r>
      <w:r w:rsidR="00D72328">
        <w:t xml:space="preserve"> fi luată</w:t>
      </w:r>
      <w:r w:rsidRPr="00E34F42">
        <w:t xml:space="preserve"> în considerare </w:t>
      </w:r>
      <w:r w:rsidR="00D72328">
        <w:t>atunci când</w:t>
      </w:r>
      <w:r w:rsidRPr="00E34F42">
        <w:t xml:space="preserve"> elevilor li se cere să utilizeze diferite criterii pentru a decide</w:t>
      </w:r>
      <w:r w:rsidR="00D72328">
        <w:t xml:space="preserve"> asupra</w:t>
      </w:r>
      <w:r w:rsidRPr="00E34F42">
        <w:t xml:space="preserve"> opțiuni</w:t>
      </w:r>
      <w:r w:rsidR="00D72328">
        <w:t>lor</w:t>
      </w:r>
      <w:r w:rsidRPr="00E34F42">
        <w:t xml:space="preserve"> de carieră. </w:t>
      </w:r>
    </w:p>
    <w:p w:rsidR="00D72328" w:rsidRDefault="00D72328" w:rsidP="00E34F42">
      <w:pPr>
        <w:spacing w:after="0" w:line="240" w:lineRule="auto"/>
        <w:jc w:val="both"/>
      </w:pPr>
    </w:p>
    <w:p w:rsidR="00D72328" w:rsidRDefault="00D72328" w:rsidP="00E34F42">
      <w:pPr>
        <w:spacing w:after="0" w:line="240" w:lineRule="auto"/>
        <w:jc w:val="both"/>
      </w:pPr>
      <w:r w:rsidRPr="00D72328">
        <w:rPr>
          <w:noProof/>
          <w:lang w:val="ru-RU" w:eastAsia="ru-RU"/>
        </w:rPr>
        <w:drawing>
          <wp:inline distT="0" distB="0" distL="0" distR="0">
            <wp:extent cx="4572000" cy="2743200"/>
            <wp:effectExtent l="19050" t="0" r="19050" b="0"/>
            <wp:docPr id="3"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72328" w:rsidRDefault="00D72328" w:rsidP="00D72328">
      <w:pPr>
        <w:tabs>
          <w:tab w:val="left" w:pos="2550"/>
        </w:tabs>
        <w:spacing w:after="0" w:line="240" w:lineRule="auto"/>
        <w:rPr>
          <w:i/>
          <w:color w:val="1F497D" w:themeColor="text2"/>
          <w:sz w:val="20"/>
          <w:szCs w:val="20"/>
        </w:rPr>
      </w:pPr>
      <w:r>
        <w:rPr>
          <w:i/>
          <w:color w:val="1F497D" w:themeColor="text2"/>
          <w:sz w:val="20"/>
          <w:szCs w:val="20"/>
        </w:rPr>
        <w:t xml:space="preserve">Figura 3: Obiectivele de viață ale fetelor și băieților (15-30 ani) </w:t>
      </w:r>
    </w:p>
    <w:p w:rsidR="00D72328" w:rsidRDefault="00D72328" w:rsidP="00D72328">
      <w:pPr>
        <w:spacing w:after="0" w:line="240" w:lineRule="auto"/>
        <w:rPr>
          <w:i/>
          <w:color w:val="1F497D" w:themeColor="text2"/>
          <w:sz w:val="20"/>
          <w:szCs w:val="20"/>
        </w:rPr>
      </w:pPr>
      <w:r>
        <w:rPr>
          <w:i/>
          <w:color w:val="1F497D" w:themeColor="text2"/>
          <w:sz w:val="20"/>
          <w:szCs w:val="20"/>
        </w:rPr>
        <w:t>Sursa: Biroul Național de Statistică</w:t>
      </w:r>
    </w:p>
    <w:p w:rsidR="00D72328" w:rsidRDefault="00D72328" w:rsidP="00D72328">
      <w:pPr>
        <w:spacing w:after="0" w:line="240" w:lineRule="auto"/>
        <w:rPr>
          <w:i/>
          <w:color w:val="1F497D" w:themeColor="text2"/>
          <w:sz w:val="20"/>
          <w:szCs w:val="20"/>
        </w:rPr>
      </w:pPr>
    </w:p>
    <w:p w:rsidR="00AE39EC" w:rsidRDefault="00D72328" w:rsidP="00D72328">
      <w:pPr>
        <w:spacing w:after="0" w:line="240" w:lineRule="auto"/>
        <w:jc w:val="both"/>
      </w:pPr>
      <w:r w:rsidRPr="00D72328">
        <w:rPr>
          <w:b/>
        </w:rPr>
        <w:lastRenderedPageBreak/>
        <w:t>Învățământul profesional (în colegii) este la fel de popular ca și educația generală în rândul băieților, iar învățământul universitar este popular printre fete.</w:t>
      </w:r>
      <w:r w:rsidRPr="00D72328">
        <w:t xml:space="preserve"> Studiul Băncii Mondiale</w:t>
      </w:r>
      <w:r w:rsidR="00AE39EC">
        <w:rPr>
          <w:rStyle w:val="Referinnotdesubsol"/>
        </w:rPr>
        <w:footnoteReference w:id="2"/>
      </w:r>
      <w:r w:rsidRPr="00D72328">
        <w:t xml:space="preserve"> a constatat că 36% dintre studenți ar prefera educația profesională, cu o diferență clară între sexe: în timp ce 43% dintre elevii de clasa a IX-a sunt interesați de educația profesională, doar 30% dintre femei sunt. Din studenții liceului (clasa a XII-a), aproape jumătate (42% dintre bărbați și 49% dintre femei) doresc să continue studiile la o universit</w:t>
      </w:r>
      <w:r w:rsidR="00AE39EC">
        <w:t>ate din Moldova. Mai multe fete</w:t>
      </w:r>
      <w:r w:rsidRPr="00D72328">
        <w:t xml:space="preserve"> doresc să-și continue studiile</w:t>
      </w:r>
      <w:r w:rsidR="00AE39EC">
        <w:t xml:space="preserve"> comparativ cu băieții</w:t>
      </w:r>
      <w:r w:rsidRPr="00D72328">
        <w:t>. Acest lucru a fost cel mai evident pentru studenții din ultimul an de studi</w:t>
      </w:r>
      <w:r w:rsidR="00AE39EC">
        <w:t>i universitare, 48% dintre fete și doar 28% dintre băieți</w:t>
      </w:r>
      <w:r w:rsidRPr="00D72328">
        <w:t xml:space="preserve"> </w:t>
      </w:r>
      <w:r w:rsidR="00AE39EC">
        <w:t xml:space="preserve">și-au exprimat intenția de a continua studiile. </w:t>
      </w:r>
    </w:p>
    <w:p w:rsidR="00AE39EC" w:rsidRDefault="00AE39EC" w:rsidP="00D72328">
      <w:pPr>
        <w:spacing w:after="0" w:line="240" w:lineRule="auto"/>
        <w:jc w:val="both"/>
      </w:pPr>
    </w:p>
    <w:p w:rsidR="00D72328" w:rsidRPr="00D72328" w:rsidRDefault="007E4ABA" w:rsidP="00D72328">
      <w:pPr>
        <w:spacing w:after="0" w:line="240" w:lineRule="auto"/>
        <w:jc w:val="both"/>
      </w:pPr>
      <w:r>
        <w:rPr>
          <w:b/>
        </w:rPr>
        <w:t>Opțiunile pentru carieră</w:t>
      </w:r>
      <w:r w:rsidRPr="007E4ABA">
        <w:rPr>
          <w:b/>
        </w:rPr>
        <w:t xml:space="preserve"> a elevilor din gimnaziu este explicată parțial de performanța </w:t>
      </w:r>
      <w:r>
        <w:rPr>
          <w:b/>
        </w:rPr>
        <w:t>academică a acestora</w:t>
      </w:r>
      <w:r w:rsidRPr="007E4ABA">
        <w:rPr>
          <w:b/>
        </w:rPr>
        <w:t>.</w:t>
      </w:r>
      <w:r w:rsidRPr="007E4ABA">
        <w:t xml:space="preserve"> Elevii cu </w:t>
      </w:r>
      <w:r>
        <w:t>o performanță mai mică la matematică și limba română</w:t>
      </w:r>
      <w:r w:rsidRPr="007E4ABA">
        <w:t xml:space="preserve"> tind să aleagă </w:t>
      </w:r>
      <w:r>
        <w:t>să opteze pentru sectoare cu calificare redusă</w:t>
      </w:r>
      <w:r w:rsidRPr="007E4ABA">
        <w:t xml:space="preserve"> (agricultură, constricție) și intenț</w:t>
      </w:r>
      <w:r>
        <w:t xml:space="preserve">ionează să obțină </w:t>
      </w:r>
      <w:r w:rsidRPr="007E4ABA">
        <w:t xml:space="preserve">mai puțină educație după gimnaziu (figura 5). Datele disponibile privind </w:t>
      </w:r>
      <w:r>
        <w:t>performanțele academice</w:t>
      </w:r>
      <w:r w:rsidRPr="007E4ABA">
        <w:t xml:space="preserve"> </w:t>
      </w:r>
      <w:r>
        <w:t>a</w:t>
      </w:r>
      <w:r w:rsidRPr="007E4ABA">
        <w:t xml:space="preserve">rată că elevii </w:t>
      </w:r>
      <w:r>
        <w:t xml:space="preserve">din zonele urbane </w:t>
      </w:r>
      <w:r w:rsidRPr="007E4ABA">
        <w:t>și fetele în general, depășesc în mod constant elevii din mediul rural și băieții în general. Segregarea pe piața muncii și inegalitat</w:t>
      </w:r>
      <w:r w:rsidR="00DB7C88">
        <w:t xml:space="preserve">ea încep din sistemul de învățământ. </w:t>
      </w:r>
    </w:p>
    <w:p w:rsidR="00E563E8" w:rsidRDefault="00E563E8" w:rsidP="00E34F42">
      <w:pPr>
        <w:spacing w:after="0" w:line="240" w:lineRule="auto"/>
        <w:jc w:val="both"/>
        <w:rPr>
          <w:i/>
          <w:sz w:val="20"/>
          <w:szCs w:val="20"/>
        </w:rPr>
      </w:pPr>
      <w:r>
        <w:rPr>
          <w:i/>
          <w:noProof/>
          <w:sz w:val="20"/>
          <w:szCs w:val="20"/>
          <w:lang w:val="ru-RU" w:eastAsia="ru-RU"/>
        </w:rPr>
        <w:drawing>
          <wp:anchor distT="0" distB="0" distL="114300" distR="114300" simplePos="0" relativeHeight="251667456" behindDoc="1" locked="0" layoutInCell="1" allowOverlap="1">
            <wp:simplePos x="0" y="0"/>
            <wp:positionH relativeFrom="column">
              <wp:posOffset>3155950</wp:posOffset>
            </wp:positionH>
            <wp:positionV relativeFrom="paragraph">
              <wp:posOffset>163195</wp:posOffset>
            </wp:positionV>
            <wp:extent cx="2901315" cy="2450465"/>
            <wp:effectExtent l="19050" t="0" r="13335" b="6985"/>
            <wp:wrapTight wrapText="bothSides">
              <wp:wrapPolygon edited="0">
                <wp:start x="-142" y="0"/>
                <wp:lineTo x="-142" y="21662"/>
                <wp:lineTo x="21699" y="21662"/>
                <wp:lineTo x="21699" y="0"/>
                <wp:lineTo x="-142" y="0"/>
              </wp:wrapPolygon>
            </wp:wrapTight>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Pr>
          <w:i/>
          <w:noProof/>
          <w:sz w:val="20"/>
          <w:szCs w:val="20"/>
          <w:lang w:val="ru-RU" w:eastAsia="ru-RU"/>
        </w:rPr>
        <w:drawing>
          <wp:anchor distT="0" distB="0" distL="114300" distR="114300" simplePos="0" relativeHeight="251666432" behindDoc="1" locked="0" layoutInCell="1" allowOverlap="1">
            <wp:simplePos x="0" y="0"/>
            <wp:positionH relativeFrom="column">
              <wp:posOffset>15875</wp:posOffset>
            </wp:positionH>
            <wp:positionV relativeFrom="paragraph">
              <wp:posOffset>163195</wp:posOffset>
            </wp:positionV>
            <wp:extent cx="2998470" cy="2449830"/>
            <wp:effectExtent l="19050" t="0" r="11430" b="7620"/>
            <wp:wrapTight wrapText="bothSides">
              <wp:wrapPolygon edited="0">
                <wp:start x="-137" y="0"/>
                <wp:lineTo x="-137" y="21667"/>
                <wp:lineTo x="21682" y="21667"/>
                <wp:lineTo x="21682" y="0"/>
                <wp:lineTo x="-137" y="0"/>
              </wp:wrapPolygon>
            </wp:wrapTight>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E563E8" w:rsidRDefault="00E563E8" w:rsidP="00E563E8">
      <w:pPr>
        <w:tabs>
          <w:tab w:val="left" w:pos="2550"/>
        </w:tabs>
        <w:spacing w:after="0" w:line="240" w:lineRule="auto"/>
        <w:rPr>
          <w:i/>
          <w:color w:val="1F497D" w:themeColor="text2"/>
          <w:sz w:val="20"/>
          <w:szCs w:val="20"/>
        </w:rPr>
      </w:pPr>
      <w:r>
        <w:rPr>
          <w:i/>
          <w:color w:val="1F497D" w:themeColor="text2"/>
          <w:sz w:val="20"/>
          <w:szCs w:val="20"/>
        </w:rPr>
        <w:t xml:space="preserve">Figura 4:Performanța și opțiunea de carieră a elevilor               Figura 5: Performanța și opțiunea de a studii </w:t>
      </w:r>
    </w:p>
    <w:p w:rsidR="00E563E8" w:rsidRDefault="00E563E8" w:rsidP="00E563E8">
      <w:pPr>
        <w:spacing w:after="0" w:line="240" w:lineRule="auto"/>
        <w:rPr>
          <w:i/>
          <w:color w:val="1F497D" w:themeColor="text2"/>
          <w:sz w:val="20"/>
          <w:szCs w:val="20"/>
        </w:rPr>
      </w:pPr>
      <w:r>
        <w:rPr>
          <w:i/>
          <w:color w:val="1F497D" w:themeColor="text2"/>
          <w:sz w:val="20"/>
          <w:szCs w:val="20"/>
        </w:rPr>
        <w:t>Sursa: Ministerul Educației, Culturii și Cercetării                         Sursa: Ministerul Educației, Culturii și Cercetării</w:t>
      </w:r>
    </w:p>
    <w:p w:rsidR="00E563E8" w:rsidRDefault="00E563E8" w:rsidP="00E563E8">
      <w:pPr>
        <w:spacing w:after="0" w:line="240" w:lineRule="auto"/>
        <w:rPr>
          <w:i/>
          <w:color w:val="1F497D" w:themeColor="text2"/>
          <w:sz w:val="20"/>
          <w:szCs w:val="20"/>
        </w:rPr>
      </w:pPr>
    </w:p>
    <w:p w:rsidR="00E563E8" w:rsidRPr="00E563E8" w:rsidRDefault="00D80E2A" w:rsidP="00E563E8">
      <w:pPr>
        <w:spacing w:after="0" w:line="240" w:lineRule="auto"/>
        <w:jc w:val="both"/>
      </w:pPr>
      <w:r>
        <w:rPr>
          <w:b/>
        </w:rPr>
        <w:t xml:space="preserve">Opțiunile pentru muncă a tinerilor inactivi sunt determinate de genul acestora. </w:t>
      </w:r>
      <w:r>
        <w:t>Fetele</w:t>
      </w:r>
      <w:r w:rsidR="00E563E8" w:rsidRPr="00E563E8">
        <w:t xml:space="preserve"> sunt mai dispuse </w:t>
      </w:r>
      <w:r>
        <w:t xml:space="preserve">comparativ cu băieții </w:t>
      </w:r>
      <w:r w:rsidR="00E563E8" w:rsidRPr="00E563E8">
        <w:t>să</w:t>
      </w:r>
      <w:r>
        <w:t xml:space="preserve"> se angajeze pe poziții de înaltă calificare </w:t>
      </w:r>
      <w:r w:rsidR="00E563E8" w:rsidRPr="00E563E8">
        <w:t>(manageri și profesioniști</w:t>
      </w:r>
      <w:r>
        <w:t>)</w:t>
      </w:r>
      <w:r w:rsidR="00E563E8" w:rsidRPr="00E563E8">
        <w:t xml:space="preserve">. Diferența de intenție este mai importantă pentru tinerii din mediul rural / urban atunci când este vorba de preferința pentru aceste tipuri de locuri de muncă. </w:t>
      </w:r>
      <w:r>
        <w:t>Tinerii din zonele rurale</w:t>
      </w:r>
      <w:r w:rsidR="00E563E8" w:rsidRPr="00E563E8">
        <w:t xml:space="preserve"> </w:t>
      </w:r>
      <w:r>
        <w:t>vor opta mai degrabă</w:t>
      </w:r>
      <w:r w:rsidR="00E563E8" w:rsidRPr="00E563E8">
        <w:t xml:space="preserve"> pentru un loc de muncă mai puțin calificat (</w:t>
      </w:r>
      <w:r>
        <w:t>muncitori calificați în întreprinderi industriale</w:t>
      </w:r>
      <w:r w:rsidR="00E563E8" w:rsidRPr="00E563E8">
        <w:t xml:space="preserve">) comparativ </w:t>
      </w:r>
      <w:r w:rsidR="00222E3F">
        <w:t xml:space="preserve">cu tinerii din zonele urbane. Fetele mai degrabă vor opta pentru domeniul serviciilor iar băieții vor opta pentru sectorul industriilor. </w:t>
      </w:r>
    </w:p>
    <w:p w:rsidR="00E563E8" w:rsidRDefault="00CE0F22" w:rsidP="00E563E8">
      <w:pPr>
        <w:tabs>
          <w:tab w:val="left" w:pos="1454"/>
        </w:tabs>
        <w:rPr>
          <w:sz w:val="20"/>
          <w:szCs w:val="20"/>
        </w:rPr>
      </w:pPr>
      <w:r>
        <w:rPr>
          <w:noProof/>
          <w:sz w:val="20"/>
          <w:szCs w:val="20"/>
          <w:lang w:val="ru-RU" w:eastAsia="ru-RU"/>
        </w:rPr>
        <w:drawing>
          <wp:anchor distT="0" distB="0" distL="114300" distR="114300" simplePos="0" relativeHeight="251669504" behindDoc="1" locked="0" layoutInCell="1" allowOverlap="1">
            <wp:simplePos x="0" y="0"/>
            <wp:positionH relativeFrom="column">
              <wp:posOffset>3056255</wp:posOffset>
            </wp:positionH>
            <wp:positionV relativeFrom="paragraph">
              <wp:posOffset>217170</wp:posOffset>
            </wp:positionV>
            <wp:extent cx="3000375" cy="2061210"/>
            <wp:effectExtent l="19050" t="0" r="9525" b="0"/>
            <wp:wrapTight wrapText="bothSides">
              <wp:wrapPolygon edited="0">
                <wp:start x="-137" y="0"/>
                <wp:lineTo x="-137" y="21560"/>
                <wp:lineTo x="21669" y="21560"/>
                <wp:lineTo x="21669" y="0"/>
                <wp:lineTo x="-137" y="0"/>
              </wp:wrapPolygon>
            </wp:wrapTight>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Pr>
          <w:noProof/>
          <w:sz w:val="20"/>
          <w:szCs w:val="20"/>
          <w:lang w:val="ru-RU" w:eastAsia="ru-RU"/>
        </w:rPr>
        <w:drawing>
          <wp:anchor distT="0" distB="0" distL="114300" distR="114300" simplePos="0" relativeHeight="251668480" behindDoc="1" locked="0" layoutInCell="1" allowOverlap="1">
            <wp:simplePos x="0" y="0"/>
            <wp:positionH relativeFrom="column">
              <wp:posOffset>-44450</wp:posOffset>
            </wp:positionH>
            <wp:positionV relativeFrom="paragraph">
              <wp:posOffset>217170</wp:posOffset>
            </wp:positionV>
            <wp:extent cx="3057525" cy="2061210"/>
            <wp:effectExtent l="19050" t="0" r="9525" b="0"/>
            <wp:wrapTight wrapText="bothSides">
              <wp:wrapPolygon edited="0">
                <wp:start x="-135" y="0"/>
                <wp:lineTo x="-135" y="21560"/>
                <wp:lineTo x="21667" y="21560"/>
                <wp:lineTo x="21667" y="0"/>
                <wp:lineTo x="-135" y="0"/>
              </wp:wrapPolygon>
            </wp:wrapTight>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CE0F22" w:rsidRDefault="00CE0F22" w:rsidP="00CE0F22">
      <w:pPr>
        <w:tabs>
          <w:tab w:val="left" w:pos="1454"/>
        </w:tabs>
        <w:spacing w:after="0" w:line="240" w:lineRule="auto"/>
        <w:rPr>
          <w:i/>
          <w:color w:val="1F497D" w:themeColor="text2"/>
          <w:sz w:val="20"/>
          <w:szCs w:val="20"/>
        </w:rPr>
      </w:pPr>
      <w:r>
        <w:rPr>
          <w:i/>
          <w:color w:val="1F497D" w:themeColor="text2"/>
          <w:sz w:val="20"/>
          <w:szCs w:val="20"/>
        </w:rPr>
        <w:lastRenderedPageBreak/>
        <w:t>Figura 6: Opțiunile de carieră băieți/fete                                    Figura 7: Opțiunile de carieră urban/rural</w:t>
      </w:r>
    </w:p>
    <w:p w:rsidR="00CE0F22" w:rsidRPr="00E563E8" w:rsidRDefault="00CE0F22" w:rsidP="00CE0F22">
      <w:pPr>
        <w:tabs>
          <w:tab w:val="left" w:pos="1454"/>
        </w:tabs>
        <w:spacing w:after="0" w:line="240" w:lineRule="auto"/>
        <w:rPr>
          <w:sz w:val="20"/>
          <w:szCs w:val="20"/>
        </w:rPr>
      </w:pPr>
      <w:r>
        <w:rPr>
          <w:i/>
          <w:color w:val="1F497D" w:themeColor="text2"/>
          <w:sz w:val="20"/>
          <w:szCs w:val="20"/>
        </w:rPr>
        <w:t xml:space="preserve">Sursa: Biroul Național de Statistică                                             Sursa: Biroul Național de Statistică          </w:t>
      </w:r>
    </w:p>
    <w:p w:rsidR="00E563E8" w:rsidRPr="003B3533" w:rsidRDefault="0094067C" w:rsidP="003B3533">
      <w:pPr>
        <w:pStyle w:val="Titlu1"/>
        <w:rPr>
          <w:rFonts w:asciiTheme="minorHAnsi" w:hAnsiTheme="minorHAnsi" w:cstheme="minorHAnsi"/>
        </w:rPr>
      </w:pPr>
      <w:bookmarkStart w:id="6" w:name="_Toc497049317"/>
      <w:r w:rsidRPr="003B3533">
        <w:rPr>
          <w:rFonts w:asciiTheme="minorHAnsi" w:hAnsiTheme="minorHAnsi" w:cstheme="minorHAnsi"/>
        </w:rPr>
        <w:t xml:space="preserve">IV. </w:t>
      </w:r>
      <w:r w:rsidR="00B67A1C" w:rsidRPr="003B3533">
        <w:rPr>
          <w:rFonts w:asciiTheme="minorHAnsi" w:hAnsiTheme="minorHAnsi" w:cstheme="minorHAnsi"/>
        </w:rPr>
        <w:t xml:space="preserve">REZULTATELE </w:t>
      </w:r>
      <w:r w:rsidRPr="003B3533">
        <w:rPr>
          <w:rFonts w:asciiTheme="minorHAnsi" w:hAnsiTheme="minorHAnsi" w:cstheme="minorHAnsi"/>
        </w:rPr>
        <w:t>ANALIZ</w:t>
      </w:r>
      <w:r w:rsidR="00B67A1C" w:rsidRPr="003B3533">
        <w:rPr>
          <w:rFonts w:asciiTheme="minorHAnsi" w:hAnsiTheme="minorHAnsi" w:cstheme="minorHAnsi"/>
        </w:rPr>
        <w:t>EI</w:t>
      </w:r>
      <w:bookmarkEnd w:id="6"/>
      <w:r w:rsidRPr="003B3533">
        <w:rPr>
          <w:rFonts w:asciiTheme="minorHAnsi" w:hAnsiTheme="minorHAnsi" w:cstheme="minorHAnsi"/>
        </w:rPr>
        <w:t xml:space="preserve"> </w:t>
      </w:r>
    </w:p>
    <w:p w:rsidR="0094067C" w:rsidRPr="005C03BF" w:rsidRDefault="0094067C" w:rsidP="00B67A1C">
      <w:pPr>
        <w:spacing w:after="0" w:line="240" w:lineRule="auto"/>
        <w:rPr>
          <w:b/>
          <w:color w:val="1F497D" w:themeColor="text2"/>
        </w:rPr>
      </w:pPr>
    </w:p>
    <w:p w:rsidR="00B67A1C" w:rsidRDefault="0094067C" w:rsidP="00B67A1C">
      <w:pPr>
        <w:pStyle w:val="Titlu2"/>
        <w:spacing w:before="0" w:line="240" w:lineRule="auto"/>
        <w:rPr>
          <w:rFonts w:asciiTheme="minorHAnsi" w:hAnsiTheme="minorHAnsi" w:cstheme="minorHAnsi"/>
        </w:rPr>
      </w:pPr>
      <w:bookmarkStart w:id="7" w:name="_Toc497049318"/>
      <w:r w:rsidRPr="0094067C">
        <w:rPr>
          <w:rFonts w:asciiTheme="minorHAnsi" w:hAnsiTheme="minorHAnsi" w:cstheme="minorHAnsi"/>
        </w:rPr>
        <w:t>4.1</w:t>
      </w:r>
      <w:r w:rsidR="00B67A1C">
        <w:rPr>
          <w:rFonts w:asciiTheme="minorHAnsi" w:hAnsiTheme="minorHAnsi" w:cstheme="minorHAnsi"/>
        </w:rPr>
        <w:t xml:space="preserve"> Clasa V-a</w:t>
      </w:r>
      <w:bookmarkEnd w:id="7"/>
      <w:r w:rsidR="00B67A1C">
        <w:rPr>
          <w:rFonts w:asciiTheme="minorHAnsi" w:hAnsiTheme="minorHAnsi" w:cstheme="minorHAnsi"/>
        </w:rPr>
        <w:t xml:space="preserve"> </w:t>
      </w:r>
    </w:p>
    <w:p w:rsidR="00B67A1C" w:rsidRDefault="00B67A1C" w:rsidP="00B67A1C">
      <w:pPr>
        <w:spacing w:after="0" w:line="240" w:lineRule="auto"/>
      </w:pPr>
    </w:p>
    <w:p w:rsidR="00B67A1C" w:rsidRPr="00B67A1C" w:rsidRDefault="00B67A1C" w:rsidP="00B67A1C">
      <w:pPr>
        <w:spacing w:after="0" w:line="240" w:lineRule="auto"/>
        <w:jc w:val="both"/>
      </w:pPr>
      <w:r w:rsidRPr="00B67A1C">
        <w:rPr>
          <w:b/>
        </w:rPr>
        <w:t xml:space="preserve">Materialele pentru profesori și studenți abordează, în linii mari, principalele </w:t>
      </w:r>
      <w:r>
        <w:rPr>
          <w:b/>
        </w:rPr>
        <w:t>aspecte</w:t>
      </w:r>
      <w:r w:rsidRPr="00B67A1C">
        <w:rPr>
          <w:b/>
        </w:rPr>
        <w:t xml:space="preserve"> de gen legate de formarea profesională și dezvoltarea carierei.</w:t>
      </w:r>
      <w:r w:rsidRPr="00B67A1C">
        <w:t xml:space="preserve"> </w:t>
      </w:r>
      <w:r>
        <w:t>În baza metodologiei de evaluare</w:t>
      </w:r>
      <w:r w:rsidRPr="00B67A1C">
        <w:t>,</w:t>
      </w:r>
      <w:r>
        <w:t xml:space="preserve"> relevanța de gen</w:t>
      </w:r>
      <w:r w:rsidRPr="00B67A1C">
        <w:t xml:space="preserve"> a tuturor celor opt lecții a fost </w:t>
      </w:r>
      <w:r>
        <w:t>apreciată</w:t>
      </w:r>
      <w:r w:rsidRPr="00B67A1C">
        <w:t xml:space="preserve"> cu o medie d</w:t>
      </w:r>
      <w:r>
        <w:t>e 2,7 puncte de la maximum 4</w:t>
      </w:r>
      <w:r w:rsidRPr="00B67A1C">
        <w:t xml:space="preserve"> puncte, iar nivelul</w:t>
      </w:r>
      <w:r>
        <w:t xml:space="preserve"> integrării dimensiunii</w:t>
      </w:r>
      <w:r w:rsidRPr="00B67A1C">
        <w:t xml:space="preserve"> egalității de gen </w:t>
      </w:r>
      <w:r>
        <w:t xml:space="preserve">în cadrul materialelor pentru această clasă, </w:t>
      </w:r>
      <w:r w:rsidRPr="00B67A1C">
        <w:t>a</w:t>
      </w:r>
      <w:r>
        <w:t>u</w:t>
      </w:r>
      <w:r w:rsidRPr="00B67A1C">
        <w:t xml:space="preserve"> fost </w:t>
      </w:r>
      <w:r>
        <w:t>apreciate</w:t>
      </w:r>
      <w:r w:rsidRPr="00B67A1C">
        <w:t xml:space="preserve"> cu o medie de 2,4. Întrucât nu există un decalaj semnificativ între relevanța </w:t>
      </w:r>
      <w:r>
        <w:t>de gen</w:t>
      </w:r>
      <w:r w:rsidRPr="00B67A1C">
        <w:t xml:space="preserve"> și abordarea integratoare a dimensiunii de gen, evaluarea concluzionează că materialele lecțiilor</w:t>
      </w:r>
      <w:r>
        <w:t xml:space="preserve"> din clasa a V-a</w:t>
      </w:r>
      <w:r w:rsidRPr="00B67A1C">
        <w:t xml:space="preserve"> sunt sensibi</w:t>
      </w:r>
      <w:r>
        <w:t>le la dimensiunea de gen. Punctajul</w:t>
      </w:r>
      <w:r w:rsidRPr="00B67A1C">
        <w:t xml:space="preserve"> pentru toate lecțiile este prezentat în figura de mai jos.</w:t>
      </w:r>
    </w:p>
    <w:p w:rsidR="00B67A1C" w:rsidRDefault="00B67A1C" w:rsidP="0094067C">
      <w:pPr>
        <w:pStyle w:val="Titlu2"/>
        <w:spacing w:before="0" w:line="240" w:lineRule="auto"/>
        <w:rPr>
          <w:rFonts w:asciiTheme="minorHAnsi" w:hAnsiTheme="minorHAnsi" w:cstheme="minorHAnsi"/>
        </w:rPr>
      </w:pPr>
    </w:p>
    <w:p w:rsidR="00B67A1C" w:rsidRDefault="00B67A1C" w:rsidP="0094067C">
      <w:pPr>
        <w:pStyle w:val="Titlu2"/>
        <w:spacing w:before="0" w:line="240" w:lineRule="auto"/>
        <w:rPr>
          <w:rFonts w:asciiTheme="minorHAnsi" w:hAnsiTheme="minorHAnsi" w:cstheme="minorHAnsi"/>
        </w:rPr>
      </w:pPr>
      <w:r w:rsidRPr="00B67A1C">
        <w:rPr>
          <w:rFonts w:asciiTheme="minorHAnsi" w:hAnsiTheme="minorHAnsi" w:cstheme="minorHAnsi"/>
          <w:noProof/>
          <w:lang w:val="ru-RU" w:eastAsia="ru-RU"/>
        </w:rPr>
        <w:drawing>
          <wp:anchor distT="0" distB="0" distL="114300" distR="114300" simplePos="0" relativeHeight="251670528" behindDoc="1" locked="0" layoutInCell="1" allowOverlap="1">
            <wp:simplePos x="0" y="0"/>
            <wp:positionH relativeFrom="column">
              <wp:posOffset>16402</wp:posOffset>
            </wp:positionH>
            <wp:positionV relativeFrom="paragraph">
              <wp:posOffset>-3954</wp:posOffset>
            </wp:positionV>
            <wp:extent cx="5163628" cy="2743200"/>
            <wp:effectExtent l="19050" t="0" r="17972" b="0"/>
            <wp:wrapTight wrapText="bothSides">
              <wp:wrapPolygon edited="0">
                <wp:start x="-80" y="0"/>
                <wp:lineTo x="-80" y="21600"/>
                <wp:lineTo x="21675" y="21600"/>
                <wp:lineTo x="21675" y="0"/>
                <wp:lineTo x="-80" y="0"/>
              </wp:wrapPolygon>
            </wp:wrapTight>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rsidR="00B67A1C" w:rsidRDefault="00B67A1C" w:rsidP="0094067C">
      <w:pPr>
        <w:pStyle w:val="Titlu2"/>
        <w:spacing w:before="0" w:line="240" w:lineRule="auto"/>
        <w:rPr>
          <w:rFonts w:asciiTheme="minorHAnsi" w:hAnsiTheme="minorHAnsi" w:cstheme="minorHAnsi"/>
        </w:rPr>
      </w:pPr>
    </w:p>
    <w:p w:rsidR="00B67A1C" w:rsidRDefault="00B67A1C" w:rsidP="0094067C">
      <w:pPr>
        <w:pStyle w:val="Titlu2"/>
        <w:spacing w:before="0" w:line="240" w:lineRule="auto"/>
        <w:rPr>
          <w:rFonts w:asciiTheme="minorHAnsi" w:hAnsiTheme="minorHAnsi" w:cstheme="minorHAnsi"/>
        </w:rPr>
      </w:pPr>
    </w:p>
    <w:p w:rsidR="00B67A1C" w:rsidRDefault="00B67A1C" w:rsidP="0094067C">
      <w:pPr>
        <w:pStyle w:val="Titlu2"/>
        <w:spacing w:before="0" w:line="240" w:lineRule="auto"/>
        <w:rPr>
          <w:rFonts w:asciiTheme="minorHAnsi" w:hAnsiTheme="minorHAnsi" w:cstheme="minorHAnsi"/>
        </w:rPr>
      </w:pPr>
    </w:p>
    <w:p w:rsidR="00B67A1C" w:rsidRDefault="00B67A1C" w:rsidP="0094067C">
      <w:pPr>
        <w:pStyle w:val="Titlu2"/>
        <w:spacing w:before="0" w:line="240" w:lineRule="auto"/>
        <w:rPr>
          <w:rFonts w:asciiTheme="minorHAnsi" w:hAnsiTheme="minorHAnsi" w:cstheme="minorHAnsi"/>
        </w:rPr>
      </w:pPr>
    </w:p>
    <w:p w:rsidR="00B67A1C" w:rsidRDefault="00B67A1C" w:rsidP="0094067C">
      <w:pPr>
        <w:pStyle w:val="Titlu2"/>
        <w:spacing w:before="0" w:line="240" w:lineRule="auto"/>
        <w:rPr>
          <w:rFonts w:asciiTheme="minorHAnsi" w:hAnsiTheme="minorHAnsi" w:cstheme="minorHAnsi"/>
        </w:rPr>
      </w:pPr>
    </w:p>
    <w:p w:rsidR="00B67A1C" w:rsidRDefault="00B67A1C" w:rsidP="0094067C">
      <w:pPr>
        <w:pStyle w:val="Titlu2"/>
        <w:spacing w:before="0" w:line="240" w:lineRule="auto"/>
        <w:rPr>
          <w:rFonts w:asciiTheme="minorHAnsi" w:hAnsiTheme="minorHAnsi" w:cstheme="minorHAnsi"/>
        </w:rPr>
      </w:pPr>
    </w:p>
    <w:p w:rsidR="00B67A1C" w:rsidRDefault="00B67A1C" w:rsidP="0094067C">
      <w:pPr>
        <w:pStyle w:val="Titlu2"/>
        <w:spacing w:before="0" w:line="240" w:lineRule="auto"/>
        <w:rPr>
          <w:rFonts w:asciiTheme="minorHAnsi" w:hAnsiTheme="minorHAnsi" w:cstheme="minorHAnsi"/>
        </w:rPr>
      </w:pPr>
    </w:p>
    <w:p w:rsidR="00B67A1C" w:rsidRDefault="0094067C" w:rsidP="0094067C">
      <w:pPr>
        <w:pStyle w:val="Titlu2"/>
        <w:spacing w:before="0" w:line="240" w:lineRule="auto"/>
        <w:rPr>
          <w:rFonts w:asciiTheme="minorHAnsi" w:hAnsiTheme="minorHAnsi" w:cstheme="minorHAnsi"/>
        </w:rPr>
      </w:pPr>
      <w:r w:rsidRPr="0094067C">
        <w:rPr>
          <w:rFonts w:asciiTheme="minorHAnsi" w:hAnsiTheme="minorHAnsi" w:cstheme="minorHAnsi"/>
        </w:rPr>
        <w:t xml:space="preserve"> </w:t>
      </w:r>
    </w:p>
    <w:p w:rsidR="00B67A1C" w:rsidRDefault="00B67A1C" w:rsidP="0094067C">
      <w:pPr>
        <w:pStyle w:val="Titlu2"/>
        <w:spacing w:before="0" w:line="240" w:lineRule="auto"/>
        <w:rPr>
          <w:rFonts w:asciiTheme="minorHAnsi" w:hAnsiTheme="minorHAnsi" w:cstheme="minorHAnsi"/>
        </w:rPr>
      </w:pPr>
    </w:p>
    <w:p w:rsidR="00B67A1C" w:rsidRDefault="00B67A1C" w:rsidP="0094067C">
      <w:pPr>
        <w:pStyle w:val="Titlu2"/>
        <w:spacing w:before="0" w:line="240" w:lineRule="auto"/>
        <w:rPr>
          <w:rFonts w:asciiTheme="minorHAnsi" w:hAnsiTheme="minorHAnsi" w:cstheme="minorHAnsi"/>
        </w:rPr>
      </w:pPr>
    </w:p>
    <w:p w:rsidR="00B67A1C" w:rsidRDefault="00B67A1C" w:rsidP="0094067C">
      <w:pPr>
        <w:pStyle w:val="Titlu2"/>
        <w:spacing w:before="0" w:line="240" w:lineRule="auto"/>
        <w:rPr>
          <w:rFonts w:asciiTheme="minorHAnsi" w:hAnsiTheme="minorHAnsi" w:cstheme="minorHAnsi"/>
        </w:rPr>
      </w:pPr>
    </w:p>
    <w:p w:rsidR="00B67A1C" w:rsidRDefault="00B67A1C" w:rsidP="0094067C">
      <w:pPr>
        <w:pStyle w:val="Titlu2"/>
        <w:spacing w:before="0" w:line="240" w:lineRule="auto"/>
        <w:rPr>
          <w:rFonts w:asciiTheme="minorHAnsi" w:hAnsiTheme="minorHAnsi" w:cstheme="minorHAnsi"/>
        </w:rPr>
      </w:pPr>
    </w:p>
    <w:p w:rsidR="00B67A1C" w:rsidRDefault="00B67A1C" w:rsidP="00B67A1C">
      <w:pPr>
        <w:pStyle w:val="Titlu2"/>
        <w:spacing w:before="0" w:line="240" w:lineRule="auto"/>
        <w:rPr>
          <w:rFonts w:asciiTheme="minorHAnsi" w:hAnsiTheme="minorHAnsi" w:cstheme="minorHAnsi"/>
          <w:b w:val="0"/>
          <w:i/>
          <w:color w:val="1F497D" w:themeColor="text2"/>
          <w:sz w:val="20"/>
          <w:szCs w:val="20"/>
        </w:rPr>
      </w:pPr>
      <w:bookmarkStart w:id="8" w:name="_Toc497049319"/>
      <w:r>
        <w:rPr>
          <w:rFonts w:asciiTheme="minorHAnsi" w:hAnsiTheme="minorHAnsi" w:cstheme="minorHAnsi"/>
          <w:b w:val="0"/>
          <w:i/>
          <w:color w:val="1F497D" w:themeColor="text2"/>
          <w:sz w:val="20"/>
          <w:szCs w:val="20"/>
        </w:rPr>
        <w:t>Figura 8: Punctajul de evaluare a lecțiilor din clasa V-a.</w:t>
      </w:r>
      <w:bookmarkEnd w:id="8"/>
    </w:p>
    <w:p w:rsidR="00B67A1C" w:rsidRDefault="00B67A1C" w:rsidP="00B67A1C">
      <w:pPr>
        <w:spacing w:after="0" w:line="240" w:lineRule="auto"/>
      </w:pPr>
    </w:p>
    <w:p w:rsidR="00B67A1C" w:rsidRPr="00B67A1C" w:rsidRDefault="00B67A1C" w:rsidP="00474634">
      <w:pPr>
        <w:spacing w:after="0" w:line="240" w:lineRule="auto"/>
        <w:jc w:val="both"/>
      </w:pPr>
      <w:r w:rsidRPr="00B67A1C">
        <w:rPr>
          <w:b/>
        </w:rPr>
        <w:t xml:space="preserve">Cea de-a cincea lecție din curriculum este cea mai </w:t>
      </w:r>
      <w:r w:rsidR="00474634">
        <w:rPr>
          <w:b/>
        </w:rPr>
        <w:t>relevantă</w:t>
      </w:r>
      <w:r w:rsidRPr="00B67A1C">
        <w:rPr>
          <w:b/>
        </w:rPr>
        <w:t xml:space="preserve"> din perspectiva </w:t>
      </w:r>
      <w:r w:rsidR="00474634">
        <w:rPr>
          <w:b/>
        </w:rPr>
        <w:t>de gen,</w:t>
      </w:r>
      <w:r w:rsidRPr="00B67A1C">
        <w:rPr>
          <w:b/>
        </w:rPr>
        <w:t xml:space="preserve"> </w:t>
      </w:r>
      <w:r w:rsidR="00474634">
        <w:rPr>
          <w:b/>
        </w:rPr>
        <w:t>abordarea autorilor a fost pe măsură</w:t>
      </w:r>
      <w:r w:rsidRPr="00B67A1C">
        <w:rPr>
          <w:b/>
        </w:rPr>
        <w:t>.</w:t>
      </w:r>
      <w:r w:rsidRPr="00B67A1C">
        <w:t xml:space="preserve"> Scopul acestei lecții este de a ajuta băieții și fetele să </w:t>
      </w:r>
      <w:r w:rsidR="00474634">
        <w:t xml:space="preserve">reflecte în mod critic asupra profesii lor de vis. Așa cum arată datele prezentate în prima parte a analizei, opțiunile de carieră sunt influențate foarte mult de rolurile tradiționale de gen. </w:t>
      </w:r>
      <w:r w:rsidRPr="00B67A1C">
        <w:t xml:space="preserve">Planul de lecție </w:t>
      </w:r>
      <w:r w:rsidR="00474634">
        <w:t>permite elevilor și profesorilor</w:t>
      </w:r>
      <w:r w:rsidRPr="00B67A1C">
        <w:t xml:space="preserve"> să </w:t>
      </w:r>
      <w:r w:rsidR="00474634">
        <w:t>abordeze</w:t>
      </w:r>
      <w:r w:rsidRPr="00B67A1C">
        <w:t xml:space="preserve"> și să dezbată critic </w:t>
      </w:r>
      <w:r w:rsidR="00474634">
        <w:t>acest subiect și nume existența profesiilor</w:t>
      </w:r>
      <w:r w:rsidRPr="00B67A1C">
        <w:t xml:space="preserve"> </w:t>
      </w:r>
      <w:r w:rsidR="00474634">
        <w:t xml:space="preserve">considerate </w:t>
      </w:r>
      <w:r w:rsidRPr="00B67A1C">
        <w:t>tradiționale masculine și feminine.</w:t>
      </w:r>
    </w:p>
    <w:p w:rsidR="00B67A1C" w:rsidRDefault="00B67A1C" w:rsidP="00474634">
      <w:pPr>
        <w:spacing w:after="0" w:line="240" w:lineRule="auto"/>
      </w:pPr>
    </w:p>
    <w:p w:rsidR="00474634" w:rsidRDefault="00474634" w:rsidP="00474634">
      <w:pPr>
        <w:spacing w:after="0" w:line="240" w:lineRule="auto"/>
        <w:jc w:val="both"/>
      </w:pPr>
      <w:r w:rsidRPr="00474634">
        <w:rPr>
          <w:b/>
        </w:rPr>
        <w:t>Două planuri de lecții și materiale pot fi consolidate din perspectiva egalității de gen.</w:t>
      </w:r>
      <w:r w:rsidRPr="00474634">
        <w:t xml:space="preserve"> Acestea se referă la a doua și a opta lecție. Subiectele acestor lecții sunt </w:t>
      </w:r>
      <w:r>
        <w:t>relevante din</w:t>
      </w:r>
      <w:r w:rsidRPr="00474634">
        <w:t xml:space="preserve"> perspectiva egalității de gen, deoarece se referă la teme care abordează aspectele legate de inegalitatea de gen pe p</w:t>
      </w:r>
      <w:r>
        <w:t>iața forței de muncă și divizarea rolurilor de gen în munca casnică</w:t>
      </w:r>
      <w:r w:rsidRPr="00474634">
        <w:t>. Aceste aspecte sunt analizate în tabelul de mai jos.</w:t>
      </w:r>
    </w:p>
    <w:p w:rsidR="00474634" w:rsidRDefault="00474634" w:rsidP="00474634">
      <w:pPr>
        <w:spacing w:after="0" w:line="240" w:lineRule="auto"/>
        <w:jc w:val="both"/>
      </w:pPr>
    </w:p>
    <w:tbl>
      <w:tblPr>
        <w:tblStyle w:val="Style1"/>
        <w:tblW w:w="9180" w:type="dxa"/>
        <w:tblLook w:val="04A0" w:firstRow="1" w:lastRow="0" w:firstColumn="1" w:lastColumn="0" w:noHBand="0" w:noVBand="1"/>
      </w:tblPr>
      <w:tblGrid>
        <w:gridCol w:w="1809"/>
        <w:gridCol w:w="2268"/>
        <w:gridCol w:w="5103"/>
      </w:tblGrid>
      <w:tr w:rsidR="00474634" w:rsidRPr="00474634" w:rsidTr="0013089E">
        <w:trPr>
          <w:cnfStyle w:val="100000000000" w:firstRow="1" w:lastRow="0" w:firstColumn="0" w:lastColumn="0" w:oddVBand="0" w:evenVBand="0" w:oddHBand="0" w:evenHBand="0" w:firstRowFirstColumn="0" w:firstRowLastColumn="0" w:lastRowFirstColumn="0" w:lastRowLastColumn="0"/>
        </w:trPr>
        <w:tc>
          <w:tcPr>
            <w:tcW w:w="1809" w:type="dxa"/>
          </w:tcPr>
          <w:p w:rsidR="00474634" w:rsidRPr="00474634" w:rsidRDefault="00474634" w:rsidP="0013089E">
            <w:pPr>
              <w:jc w:val="center"/>
              <w:rPr>
                <w:b w:val="0"/>
              </w:rPr>
            </w:pPr>
            <w:r w:rsidRPr="00474634">
              <w:rPr>
                <w:b w:val="0"/>
              </w:rPr>
              <w:t>Lecția</w:t>
            </w:r>
          </w:p>
          <w:p w:rsidR="00474634" w:rsidRPr="00474634" w:rsidRDefault="00474634" w:rsidP="0013089E">
            <w:pPr>
              <w:jc w:val="center"/>
              <w:rPr>
                <w:b w:val="0"/>
              </w:rPr>
            </w:pPr>
          </w:p>
        </w:tc>
        <w:tc>
          <w:tcPr>
            <w:tcW w:w="2268" w:type="dxa"/>
          </w:tcPr>
          <w:p w:rsidR="00474634" w:rsidRPr="00474634" w:rsidRDefault="00474634" w:rsidP="00474634">
            <w:pPr>
              <w:jc w:val="center"/>
              <w:rPr>
                <w:b w:val="0"/>
              </w:rPr>
            </w:pPr>
            <w:r w:rsidRPr="00474634">
              <w:rPr>
                <w:b w:val="0"/>
              </w:rPr>
              <w:t>Relevanța de gen</w:t>
            </w:r>
          </w:p>
        </w:tc>
        <w:tc>
          <w:tcPr>
            <w:tcW w:w="5103" w:type="dxa"/>
          </w:tcPr>
          <w:p w:rsidR="00474634" w:rsidRPr="00474634" w:rsidRDefault="00474634" w:rsidP="0013089E">
            <w:pPr>
              <w:jc w:val="center"/>
              <w:rPr>
                <w:b w:val="0"/>
              </w:rPr>
            </w:pPr>
            <w:r w:rsidRPr="00474634">
              <w:rPr>
                <w:b w:val="0"/>
              </w:rPr>
              <w:t>Modalități de a aborda perspective egalității de gen:</w:t>
            </w:r>
          </w:p>
        </w:tc>
      </w:tr>
      <w:tr w:rsidR="00474634" w:rsidRPr="00474634" w:rsidTr="0013089E">
        <w:tc>
          <w:tcPr>
            <w:tcW w:w="1809" w:type="dxa"/>
          </w:tcPr>
          <w:p w:rsidR="00474634" w:rsidRPr="00474634" w:rsidRDefault="00474634" w:rsidP="0013089E">
            <w:pPr>
              <w:rPr>
                <w:b/>
              </w:rPr>
            </w:pPr>
            <w:r>
              <w:rPr>
                <w:b/>
              </w:rPr>
              <w:t xml:space="preserve">Lecția 2: Familia </w:t>
            </w:r>
            <w:r>
              <w:rPr>
                <w:b/>
              </w:rPr>
              <w:lastRenderedPageBreak/>
              <w:t xml:space="preserve">mea și munca </w:t>
            </w:r>
          </w:p>
        </w:tc>
        <w:tc>
          <w:tcPr>
            <w:tcW w:w="2268" w:type="dxa"/>
          </w:tcPr>
          <w:p w:rsidR="00474634" w:rsidRDefault="00474634" w:rsidP="0013089E">
            <w:pPr>
              <w:rPr>
                <w:b/>
              </w:rPr>
            </w:pPr>
            <w:r>
              <w:rPr>
                <w:b/>
              </w:rPr>
              <w:lastRenderedPageBreak/>
              <w:t>Relevant</w:t>
            </w:r>
          </w:p>
          <w:p w:rsidR="00474634" w:rsidRPr="00474634" w:rsidRDefault="00474634" w:rsidP="00474634">
            <w:r>
              <w:lastRenderedPageBreak/>
              <w:t xml:space="preserve">Munca casnică are o diviziune de gen destul de pronunțată. </w:t>
            </w:r>
          </w:p>
        </w:tc>
        <w:tc>
          <w:tcPr>
            <w:tcW w:w="5103" w:type="dxa"/>
          </w:tcPr>
          <w:p w:rsidR="00474634" w:rsidRDefault="00474634" w:rsidP="00474634">
            <w:r w:rsidRPr="00474634">
              <w:lastRenderedPageBreak/>
              <w:t xml:space="preserve">Este important ca elevii să înțeleagă modul în care </w:t>
            </w:r>
            <w:r w:rsidRPr="00474634">
              <w:lastRenderedPageBreak/>
              <w:t xml:space="preserve">rolurile de gen influențează distribuția </w:t>
            </w:r>
            <w:r>
              <w:t>muncii în</w:t>
            </w:r>
            <w:r w:rsidRPr="00474634">
              <w:t xml:space="preserve"> gospodăr</w:t>
            </w:r>
            <w:r>
              <w:t>ie</w:t>
            </w:r>
            <w:r w:rsidRPr="00474634">
              <w:t xml:space="preserve">. Unul dintre mesajele cheie pentru această lecție este importanța </w:t>
            </w:r>
            <w:r>
              <w:t>implicării băieților în</w:t>
            </w:r>
            <w:r w:rsidRPr="00474634">
              <w:t xml:space="preserve"> muncă de îngrijire (având grijă de frații</w:t>
            </w:r>
            <w:r>
              <w:t>/surorile</w:t>
            </w:r>
            <w:r w:rsidRPr="00474634">
              <w:t xml:space="preserve"> lor, </w:t>
            </w:r>
            <w:r>
              <w:t>pregătirea bucatelor</w:t>
            </w:r>
            <w:r w:rsidRPr="00474634">
              <w:t xml:space="preserve">, </w:t>
            </w:r>
            <w:r>
              <w:t>spălatul veselei,</w:t>
            </w:r>
            <w:r w:rsidRPr="00474634">
              <w:t xml:space="preserve"> etc.).</w:t>
            </w:r>
          </w:p>
          <w:p w:rsidR="00474634" w:rsidRPr="00474634" w:rsidRDefault="00474634" w:rsidP="00474634"/>
        </w:tc>
      </w:tr>
      <w:tr w:rsidR="00474634" w:rsidRPr="00474634" w:rsidTr="0013089E">
        <w:tc>
          <w:tcPr>
            <w:tcW w:w="1809" w:type="dxa"/>
          </w:tcPr>
          <w:p w:rsidR="00474634" w:rsidRPr="00041FF9" w:rsidRDefault="00041FF9" w:rsidP="0013089E">
            <w:r>
              <w:rPr>
                <w:b/>
              </w:rPr>
              <w:lastRenderedPageBreak/>
              <w:t xml:space="preserve">Lecția 8: </w:t>
            </w:r>
            <w:r>
              <w:t>Primul meu proiect de carieră</w:t>
            </w:r>
          </w:p>
        </w:tc>
        <w:tc>
          <w:tcPr>
            <w:tcW w:w="2268" w:type="dxa"/>
          </w:tcPr>
          <w:p w:rsidR="00474634" w:rsidRDefault="00041FF9" w:rsidP="0013089E">
            <w:pPr>
              <w:rPr>
                <w:b/>
              </w:rPr>
            </w:pPr>
            <w:r>
              <w:rPr>
                <w:b/>
              </w:rPr>
              <w:t>Relevant</w:t>
            </w:r>
          </w:p>
          <w:p w:rsidR="00041FF9" w:rsidRDefault="00041FF9" w:rsidP="0013089E">
            <w:r>
              <w:t xml:space="preserve">Deciziile cu privire la carieră sunt influențate de percepțiile și rolurile tradiționale de gen. </w:t>
            </w:r>
          </w:p>
          <w:p w:rsidR="00041FF9" w:rsidRPr="00041FF9" w:rsidRDefault="00041FF9" w:rsidP="0013089E"/>
        </w:tc>
        <w:tc>
          <w:tcPr>
            <w:tcW w:w="5103" w:type="dxa"/>
          </w:tcPr>
          <w:p w:rsidR="00474634" w:rsidRPr="00474634" w:rsidRDefault="00041FF9" w:rsidP="00041FF9">
            <w:r w:rsidRPr="00041FF9">
              <w:t>Profesorul poate evalua critic p</w:t>
            </w:r>
            <w:r>
              <w:t>roiectele elaborate de studenți pentru ai</w:t>
            </w:r>
            <w:r w:rsidRPr="00041FF9">
              <w:t xml:space="preserve"> ajuta să înțeleagă că toate profesiile </w:t>
            </w:r>
            <w:r>
              <w:t>sunt deschis atât pentru băieți, cât și pentru</w:t>
            </w:r>
            <w:r w:rsidRPr="00041FF9">
              <w:t xml:space="preserve"> fete.</w:t>
            </w:r>
          </w:p>
        </w:tc>
      </w:tr>
    </w:tbl>
    <w:p w:rsidR="00474634" w:rsidRPr="00474634" w:rsidRDefault="00474634" w:rsidP="00474634">
      <w:pPr>
        <w:spacing w:after="0" w:line="240" w:lineRule="auto"/>
      </w:pPr>
    </w:p>
    <w:p w:rsidR="00474634" w:rsidRPr="00041FF9" w:rsidRDefault="00041FF9" w:rsidP="00041FF9">
      <w:pPr>
        <w:pStyle w:val="Titlu2"/>
        <w:rPr>
          <w:rFonts w:asciiTheme="minorHAnsi" w:hAnsiTheme="minorHAnsi" w:cstheme="minorHAnsi"/>
        </w:rPr>
      </w:pPr>
      <w:bookmarkStart w:id="9" w:name="_Toc497049320"/>
      <w:r w:rsidRPr="00041FF9">
        <w:rPr>
          <w:rFonts w:asciiTheme="minorHAnsi" w:hAnsiTheme="minorHAnsi" w:cstheme="minorHAnsi"/>
        </w:rPr>
        <w:t>4.2. Clasa VI-a</w:t>
      </w:r>
      <w:bookmarkEnd w:id="9"/>
    </w:p>
    <w:p w:rsidR="00041FF9" w:rsidRDefault="00041FF9" w:rsidP="00474634">
      <w:pPr>
        <w:spacing w:after="0" w:line="240" w:lineRule="auto"/>
      </w:pPr>
    </w:p>
    <w:p w:rsidR="00041FF9" w:rsidRPr="00474634" w:rsidRDefault="00041FF9" w:rsidP="00041FF9">
      <w:pPr>
        <w:spacing w:after="0" w:line="240" w:lineRule="auto"/>
        <w:jc w:val="both"/>
      </w:pPr>
      <w:r>
        <w:rPr>
          <w:b/>
        </w:rPr>
        <w:t>Punctajul pentru i</w:t>
      </w:r>
      <w:r w:rsidRPr="00041FF9">
        <w:rPr>
          <w:b/>
        </w:rPr>
        <w:t xml:space="preserve">ntegrarea dimensiunii de gen este </w:t>
      </w:r>
      <w:r>
        <w:rPr>
          <w:b/>
        </w:rPr>
        <w:t>proporțional cu punctajul pentru r</w:t>
      </w:r>
      <w:r w:rsidRPr="00041FF9">
        <w:rPr>
          <w:b/>
        </w:rPr>
        <w:t xml:space="preserve">elevanța </w:t>
      </w:r>
      <w:r>
        <w:rPr>
          <w:b/>
        </w:rPr>
        <w:t>de gen</w:t>
      </w:r>
      <w:r w:rsidRPr="00041FF9">
        <w:rPr>
          <w:b/>
        </w:rPr>
        <w:t>.</w:t>
      </w:r>
      <w:r w:rsidRPr="00041FF9">
        <w:t xml:space="preserve"> Scorul mediu pentru relevanța </w:t>
      </w:r>
      <w:r>
        <w:t>de gen a fost de 2,4 și punctajul</w:t>
      </w:r>
      <w:r w:rsidRPr="00041FF9">
        <w:t xml:space="preserve"> mediu pentru integrarea </w:t>
      </w:r>
      <w:r>
        <w:t>dimensiunii egalității de gen este</w:t>
      </w:r>
      <w:r w:rsidRPr="00041FF9">
        <w:t xml:space="preserve"> de 2,3. </w:t>
      </w:r>
      <w:r>
        <w:t>Punctajul</w:t>
      </w:r>
      <w:r w:rsidRPr="00041FF9">
        <w:t xml:space="preserve"> pentru integrarea dimensiunii de gen este atribuit în mare parte abordării extrem de individuale în majoritatea plan</w:t>
      </w:r>
      <w:r>
        <w:t>urilor și materialelor de lecții</w:t>
      </w:r>
      <w:r w:rsidRPr="00041FF9">
        <w:t xml:space="preserve">. </w:t>
      </w:r>
      <w:r>
        <w:t>Băieții și fetele</w:t>
      </w:r>
      <w:r w:rsidRPr="00041FF9">
        <w:t xml:space="preserve"> sunt încurajați să gândească critic și să-și eva</w:t>
      </w:r>
      <w:r>
        <w:t xml:space="preserve">lueze punctele forte și cele slabe pentru a face o decizie cât mai conștientă în ceea ce privește </w:t>
      </w:r>
      <w:r w:rsidRPr="00041FF9">
        <w:t>cariera lor.</w:t>
      </w:r>
    </w:p>
    <w:p w:rsidR="00474634" w:rsidRDefault="00474634" w:rsidP="00474634">
      <w:pPr>
        <w:spacing w:after="0" w:line="240" w:lineRule="auto"/>
      </w:pPr>
    </w:p>
    <w:p w:rsidR="00041FF9" w:rsidRDefault="00041FF9" w:rsidP="00474634">
      <w:pPr>
        <w:spacing w:after="0" w:line="240" w:lineRule="auto"/>
      </w:pPr>
      <w:r w:rsidRPr="00041FF9">
        <w:rPr>
          <w:noProof/>
          <w:lang w:val="ru-RU" w:eastAsia="ru-RU"/>
        </w:rPr>
        <w:drawing>
          <wp:anchor distT="0" distB="0" distL="114300" distR="114300" simplePos="0" relativeHeight="251671552" behindDoc="1" locked="0" layoutInCell="1" allowOverlap="1">
            <wp:simplePos x="0" y="0"/>
            <wp:positionH relativeFrom="column">
              <wp:posOffset>16402</wp:posOffset>
            </wp:positionH>
            <wp:positionV relativeFrom="paragraph">
              <wp:posOffset>1318</wp:posOffset>
            </wp:positionV>
            <wp:extent cx="4568406" cy="2717321"/>
            <wp:effectExtent l="19050" t="0" r="22644" b="6829"/>
            <wp:wrapTight wrapText="bothSides">
              <wp:wrapPolygon edited="0">
                <wp:start x="-90" y="0"/>
                <wp:lineTo x="-90" y="21654"/>
                <wp:lineTo x="21707" y="21654"/>
                <wp:lineTo x="21707" y="0"/>
                <wp:lineTo x="-90" y="0"/>
              </wp:wrapPolygon>
            </wp:wrapTight>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rsidR="00474634" w:rsidRDefault="00474634" w:rsidP="00474634">
      <w:pPr>
        <w:spacing w:after="0" w:line="240" w:lineRule="auto"/>
      </w:pPr>
    </w:p>
    <w:p w:rsidR="00474634" w:rsidRDefault="00474634" w:rsidP="00474634"/>
    <w:p w:rsidR="00474634" w:rsidRDefault="00474634" w:rsidP="00474634"/>
    <w:p w:rsidR="00474634" w:rsidRDefault="00474634" w:rsidP="00474634"/>
    <w:p w:rsidR="00474634" w:rsidRDefault="00474634" w:rsidP="00474634"/>
    <w:p w:rsidR="00474634" w:rsidRDefault="00474634" w:rsidP="00474634"/>
    <w:p w:rsidR="00474634" w:rsidRDefault="00474634" w:rsidP="00474634"/>
    <w:p w:rsidR="00474634" w:rsidRPr="00474634" w:rsidRDefault="00474634" w:rsidP="00474634"/>
    <w:p w:rsidR="00B67A1C" w:rsidRDefault="00B67A1C" w:rsidP="0094067C">
      <w:pPr>
        <w:pStyle w:val="Titlu2"/>
        <w:spacing w:before="0" w:line="240" w:lineRule="auto"/>
        <w:rPr>
          <w:rFonts w:asciiTheme="minorHAnsi" w:hAnsiTheme="minorHAnsi" w:cstheme="minorHAnsi"/>
        </w:rPr>
      </w:pPr>
    </w:p>
    <w:p w:rsidR="0013089E" w:rsidRDefault="0013089E" w:rsidP="0013089E">
      <w:pPr>
        <w:pStyle w:val="Titlu2"/>
        <w:spacing w:before="0" w:line="240" w:lineRule="auto"/>
        <w:rPr>
          <w:rFonts w:asciiTheme="minorHAnsi" w:hAnsiTheme="minorHAnsi" w:cstheme="minorHAnsi"/>
          <w:b w:val="0"/>
          <w:i/>
          <w:color w:val="1F497D" w:themeColor="text2"/>
          <w:sz w:val="20"/>
          <w:szCs w:val="20"/>
        </w:rPr>
      </w:pPr>
      <w:bookmarkStart w:id="10" w:name="_Toc497049321"/>
      <w:r>
        <w:rPr>
          <w:rFonts w:asciiTheme="minorHAnsi" w:hAnsiTheme="minorHAnsi" w:cstheme="minorHAnsi"/>
          <w:b w:val="0"/>
          <w:i/>
          <w:color w:val="1F497D" w:themeColor="text2"/>
          <w:sz w:val="20"/>
          <w:szCs w:val="20"/>
        </w:rPr>
        <w:t>Figura 9: Punctajul de evaluare a lecțiilor din clasa VI-a.</w:t>
      </w:r>
      <w:bookmarkEnd w:id="10"/>
    </w:p>
    <w:p w:rsidR="00B67A1C" w:rsidRDefault="00B67A1C" w:rsidP="0094067C">
      <w:pPr>
        <w:pStyle w:val="Titlu2"/>
        <w:spacing w:before="0" w:line="240" w:lineRule="auto"/>
        <w:rPr>
          <w:rFonts w:asciiTheme="minorHAnsi" w:hAnsiTheme="minorHAnsi" w:cstheme="minorHAnsi"/>
        </w:rPr>
      </w:pPr>
    </w:p>
    <w:p w:rsidR="0013089E" w:rsidRDefault="0013089E" w:rsidP="0013089E">
      <w:pPr>
        <w:spacing w:after="0" w:line="240" w:lineRule="auto"/>
        <w:jc w:val="both"/>
      </w:pPr>
      <w:r w:rsidRPr="0013089E">
        <w:rPr>
          <w:b/>
        </w:rPr>
        <w:t>Li</w:t>
      </w:r>
      <w:r w:rsidR="00B563C8">
        <w:rPr>
          <w:b/>
        </w:rPr>
        <w:t>mbajul de gen în descrierea</w:t>
      </w:r>
      <w:r w:rsidRPr="0013089E">
        <w:rPr>
          <w:b/>
        </w:rPr>
        <w:t xml:space="preserve"> profesiilor nu a fost pe deplin utilizat.</w:t>
      </w:r>
      <w:r w:rsidRPr="0013089E">
        <w:t xml:space="preserve"> Ca regulă generală, este recomandat ca, în descrierea și listarea profesiilor, acestea să fie prezentate în variantele feminine și masculine. O opțiune mai puțin favorabilă ar fi să prezinte toate profesiile sub formă masculină, dar </w:t>
      </w:r>
      <w:r w:rsidR="00B563C8">
        <w:t>cu precizarea</w:t>
      </w:r>
      <w:r w:rsidRPr="0013089E">
        <w:t xml:space="preserve"> că aceste profesii sunt destinate atât băieților, cât și fetelor. Opțiunea cea mai puțin favorabilă este de a prezenta anumite profesii în forma lor feminină și alte profesii în forma lor masculină. În materialele care se referă la a treia lecție, autori folosesc atât forme masculine / </w:t>
      </w:r>
      <w:r w:rsidR="00B563C8" w:rsidRPr="0013089E">
        <w:t>fem</w:t>
      </w:r>
      <w:r w:rsidR="00B563C8">
        <w:t>inine</w:t>
      </w:r>
      <w:r w:rsidRPr="0013089E">
        <w:t xml:space="preserve"> ale profesiei într-un caz, cât și versiuni masculine pentru ceilalți.</w:t>
      </w:r>
      <w:r w:rsidR="00B563C8">
        <w:t xml:space="preserve"> Totodată, este important de menționat că autorii nu au optat pentru forme masculine sau feminine pentru profesiile tradițional feminine sau masculine. </w:t>
      </w:r>
    </w:p>
    <w:p w:rsidR="00B563C8" w:rsidRDefault="00B563C8" w:rsidP="0013089E">
      <w:pPr>
        <w:spacing w:after="0" w:line="240" w:lineRule="auto"/>
        <w:jc w:val="both"/>
      </w:pPr>
    </w:p>
    <w:p w:rsidR="0013089E" w:rsidRDefault="00B563C8" w:rsidP="00B563C8">
      <w:pPr>
        <w:spacing w:after="0" w:line="240" w:lineRule="auto"/>
        <w:jc w:val="both"/>
      </w:pPr>
      <w:r w:rsidRPr="00B563C8">
        <w:rPr>
          <w:b/>
        </w:rPr>
        <w:t>Având în vedere abordarea foarte in</w:t>
      </w:r>
      <w:r>
        <w:rPr>
          <w:b/>
        </w:rPr>
        <w:t>dividuală, rolul profesorului este crucial în ceea ce privește asigurarea unei abordări non discriminatorii</w:t>
      </w:r>
      <w:r w:rsidRPr="00B563C8">
        <w:rPr>
          <w:b/>
        </w:rPr>
        <w:t>.</w:t>
      </w:r>
      <w:r w:rsidRPr="00B563C8">
        <w:t xml:space="preserve"> Profesorii ar trebui să primească materiale și </w:t>
      </w:r>
      <w:r>
        <w:t>suport</w:t>
      </w:r>
      <w:r w:rsidRPr="00B563C8">
        <w:t xml:space="preserve"> cu privire la modul </w:t>
      </w:r>
      <w:r>
        <w:t>în care elevii  ar putea reflecta în mod critic</w:t>
      </w:r>
      <w:r w:rsidRPr="00B563C8">
        <w:t xml:space="preserve"> despre capacitățile lor și </w:t>
      </w:r>
      <w:r>
        <w:t>opțiunile</w:t>
      </w:r>
      <w:r w:rsidRPr="00B563C8">
        <w:t xml:space="preserve"> de carieră. O modalitate utilă de a face acest lucru este de a </w:t>
      </w:r>
      <w:r>
        <w:t>prezenta elevilor bărbați și femei care lucrează în sectoare netradiționale.</w:t>
      </w:r>
    </w:p>
    <w:p w:rsidR="0013089E" w:rsidRDefault="0013089E" w:rsidP="00B563C8">
      <w:pPr>
        <w:spacing w:after="0" w:line="240" w:lineRule="auto"/>
      </w:pPr>
    </w:p>
    <w:p w:rsidR="00B563C8" w:rsidRPr="00B563C8" w:rsidRDefault="00B563C8" w:rsidP="00B563C8">
      <w:pPr>
        <w:pStyle w:val="Titlu2"/>
        <w:rPr>
          <w:rFonts w:asciiTheme="minorHAnsi" w:hAnsiTheme="minorHAnsi" w:cstheme="minorHAnsi"/>
        </w:rPr>
      </w:pPr>
      <w:bookmarkStart w:id="11" w:name="_Toc497049322"/>
      <w:r w:rsidRPr="00B563C8">
        <w:rPr>
          <w:rFonts w:asciiTheme="minorHAnsi" w:hAnsiTheme="minorHAnsi" w:cstheme="minorHAnsi"/>
        </w:rPr>
        <w:t>4.3. Clasa a VII-a</w:t>
      </w:r>
      <w:bookmarkEnd w:id="11"/>
      <w:r w:rsidRPr="00B563C8">
        <w:rPr>
          <w:rFonts w:asciiTheme="minorHAnsi" w:hAnsiTheme="minorHAnsi" w:cstheme="minorHAnsi"/>
        </w:rPr>
        <w:t xml:space="preserve"> </w:t>
      </w:r>
    </w:p>
    <w:p w:rsidR="00B563C8" w:rsidRDefault="00B563C8" w:rsidP="00B563C8">
      <w:pPr>
        <w:spacing w:after="0" w:line="240" w:lineRule="auto"/>
      </w:pPr>
    </w:p>
    <w:p w:rsidR="00B563C8" w:rsidRDefault="00B563C8" w:rsidP="00B563C8">
      <w:pPr>
        <w:spacing w:after="0" w:line="240" w:lineRule="auto"/>
        <w:jc w:val="both"/>
      </w:pPr>
      <w:r w:rsidRPr="00B563C8">
        <w:rPr>
          <w:b/>
        </w:rPr>
        <w:t xml:space="preserve">Abordarea generală pentru clasa a șaptea este evaluată ca fiind </w:t>
      </w:r>
      <w:r>
        <w:rPr>
          <w:b/>
        </w:rPr>
        <w:t xml:space="preserve">una </w:t>
      </w:r>
      <w:r w:rsidRPr="00B563C8">
        <w:rPr>
          <w:b/>
        </w:rPr>
        <w:t xml:space="preserve">sensibilă la </w:t>
      </w:r>
      <w:r>
        <w:rPr>
          <w:b/>
        </w:rPr>
        <w:t>dimensiunea egalității de gen</w:t>
      </w:r>
      <w:r w:rsidRPr="00B563C8">
        <w:rPr>
          <w:b/>
        </w:rPr>
        <w:t>.</w:t>
      </w:r>
      <w:r w:rsidRPr="00B563C8">
        <w:t xml:space="preserve"> În centrul abordării REVOCC este </w:t>
      </w:r>
      <w:r>
        <w:t>încurajarea</w:t>
      </w:r>
      <w:r w:rsidRPr="00B563C8">
        <w:t xml:space="preserve"> atât</w:t>
      </w:r>
      <w:r>
        <w:t xml:space="preserve"> a fetelor</w:t>
      </w:r>
      <w:r w:rsidRPr="00B563C8">
        <w:t>, cât și</w:t>
      </w:r>
      <w:r>
        <w:t xml:space="preserve"> a</w:t>
      </w:r>
      <w:r w:rsidRPr="00B563C8">
        <w:t xml:space="preserve"> băieți</w:t>
      </w:r>
      <w:r>
        <w:t>lor</w:t>
      </w:r>
      <w:r w:rsidRPr="00B563C8">
        <w:t xml:space="preserve"> să se </w:t>
      </w:r>
      <w:r>
        <w:t>reflecte critic asupra opțiunilor</w:t>
      </w:r>
      <w:r w:rsidRPr="00B563C8">
        <w:t xml:space="preserve"> lor profesionale, să </w:t>
      </w:r>
      <w:r>
        <w:t>înțeleagă</w:t>
      </w:r>
      <w:r w:rsidRPr="00B563C8">
        <w:t xml:space="preserve"> factorii externi care influențează opțiunile de cari</w:t>
      </w:r>
      <w:r>
        <w:t xml:space="preserve">eră (lecția numărul 5) și să </w:t>
      </w:r>
      <w:r w:rsidR="00A839E7">
        <w:t>evalueze</w:t>
      </w:r>
      <w:r w:rsidRPr="00B563C8">
        <w:t xml:space="preserve"> diferitele compromisuri </w:t>
      </w:r>
      <w:r w:rsidR="00A839E7">
        <w:t>care apar în mod firesc</w:t>
      </w:r>
      <w:r w:rsidRPr="00B563C8">
        <w:t xml:space="preserve"> în</w:t>
      </w:r>
      <w:r w:rsidR="00A839E7">
        <w:t xml:space="preserve"> procesul de</w:t>
      </w:r>
      <w:r w:rsidRPr="00B563C8">
        <w:t xml:space="preserve"> planificarea carierei.</w:t>
      </w:r>
    </w:p>
    <w:p w:rsidR="00B563C8" w:rsidRDefault="00B563C8" w:rsidP="00B563C8">
      <w:pPr>
        <w:spacing w:after="0" w:line="240" w:lineRule="auto"/>
      </w:pPr>
    </w:p>
    <w:p w:rsidR="00A839E7" w:rsidRDefault="00A839E7" w:rsidP="00B563C8">
      <w:pPr>
        <w:spacing w:after="0" w:line="240" w:lineRule="auto"/>
      </w:pPr>
      <w:r w:rsidRPr="00A839E7">
        <w:rPr>
          <w:noProof/>
          <w:lang w:val="ru-RU" w:eastAsia="ru-RU"/>
        </w:rPr>
        <w:drawing>
          <wp:anchor distT="0" distB="0" distL="114300" distR="114300" simplePos="0" relativeHeight="251672576" behindDoc="1" locked="0" layoutInCell="1" allowOverlap="1">
            <wp:simplePos x="0" y="0"/>
            <wp:positionH relativeFrom="column">
              <wp:posOffset>15875</wp:posOffset>
            </wp:positionH>
            <wp:positionV relativeFrom="paragraph">
              <wp:posOffset>-3175</wp:posOffset>
            </wp:positionV>
            <wp:extent cx="4565015" cy="2440940"/>
            <wp:effectExtent l="19050" t="0" r="26035" b="0"/>
            <wp:wrapTight wrapText="bothSides">
              <wp:wrapPolygon edited="0">
                <wp:start x="-90" y="0"/>
                <wp:lineTo x="-90" y="21578"/>
                <wp:lineTo x="21723" y="21578"/>
                <wp:lineTo x="21723" y="0"/>
                <wp:lineTo x="-90" y="0"/>
              </wp:wrapPolygon>
            </wp:wrapTight>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p w:rsidR="00B563C8" w:rsidRDefault="00B563C8" w:rsidP="00B563C8">
      <w:pPr>
        <w:spacing w:after="0" w:line="240" w:lineRule="auto"/>
      </w:pPr>
    </w:p>
    <w:p w:rsidR="00B563C8" w:rsidRDefault="00B563C8" w:rsidP="0013089E"/>
    <w:p w:rsidR="00B563C8" w:rsidRDefault="00B563C8" w:rsidP="0013089E"/>
    <w:p w:rsidR="00B563C8" w:rsidRDefault="00B563C8" w:rsidP="0013089E"/>
    <w:p w:rsidR="0013089E" w:rsidRDefault="0013089E" w:rsidP="0013089E"/>
    <w:p w:rsidR="0013089E" w:rsidRDefault="0013089E" w:rsidP="00A839E7">
      <w:pPr>
        <w:spacing w:after="0" w:line="240" w:lineRule="auto"/>
      </w:pPr>
    </w:p>
    <w:p w:rsidR="0013089E" w:rsidRDefault="0013089E" w:rsidP="00A839E7">
      <w:pPr>
        <w:spacing w:after="0" w:line="240" w:lineRule="auto"/>
      </w:pPr>
    </w:p>
    <w:p w:rsidR="00A839E7" w:rsidRDefault="00A839E7" w:rsidP="00A839E7">
      <w:pPr>
        <w:spacing w:after="0" w:line="240" w:lineRule="auto"/>
      </w:pPr>
    </w:p>
    <w:p w:rsidR="00A839E7" w:rsidRDefault="00A839E7" w:rsidP="00A839E7">
      <w:pPr>
        <w:spacing w:after="0" w:line="240" w:lineRule="auto"/>
      </w:pPr>
    </w:p>
    <w:p w:rsidR="00A839E7" w:rsidRDefault="00A839E7" w:rsidP="00A839E7">
      <w:pPr>
        <w:pStyle w:val="Titlu2"/>
        <w:spacing w:before="0" w:line="240" w:lineRule="auto"/>
        <w:rPr>
          <w:rFonts w:asciiTheme="minorHAnsi" w:hAnsiTheme="minorHAnsi" w:cstheme="minorHAnsi"/>
          <w:b w:val="0"/>
          <w:i/>
          <w:color w:val="1F497D" w:themeColor="text2"/>
          <w:sz w:val="20"/>
          <w:szCs w:val="20"/>
        </w:rPr>
      </w:pPr>
      <w:bookmarkStart w:id="12" w:name="_Toc497049323"/>
      <w:r>
        <w:rPr>
          <w:rFonts w:asciiTheme="minorHAnsi" w:hAnsiTheme="minorHAnsi" w:cstheme="minorHAnsi"/>
          <w:b w:val="0"/>
          <w:i/>
          <w:color w:val="1F497D" w:themeColor="text2"/>
          <w:sz w:val="20"/>
          <w:szCs w:val="20"/>
        </w:rPr>
        <w:t>Figura 10: Punctajul de evaluare a lecțiilor din clasa VII-a.</w:t>
      </w:r>
      <w:bookmarkEnd w:id="12"/>
    </w:p>
    <w:p w:rsidR="00A839E7" w:rsidRPr="00A839E7" w:rsidRDefault="00A839E7" w:rsidP="00A839E7">
      <w:pPr>
        <w:spacing w:after="0" w:line="240" w:lineRule="auto"/>
        <w:rPr>
          <w:i/>
          <w:sz w:val="20"/>
          <w:szCs w:val="20"/>
        </w:rPr>
      </w:pPr>
    </w:p>
    <w:p w:rsidR="00A839E7" w:rsidRDefault="00A839E7" w:rsidP="00A839E7">
      <w:pPr>
        <w:spacing w:after="0" w:line="240" w:lineRule="auto"/>
        <w:jc w:val="both"/>
      </w:pPr>
      <w:r>
        <w:rPr>
          <w:b/>
        </w:rPr>
        <w:t>Este încurajată și apreciată utilizarea ambelor sexe în prezentarea modelelor de succes în alegerea unei cariere</w:t>
      </w:r>
      <w:r w:rsidRPr="00A839E7">
        <w:rPr>
          <w:b/>
        </w:rPr>
        <w:t xml:space="preserve">. </w:t>
      </w:r>
      <w:r w:rsidRPr="00A839E7">
        <w:t>Un exemplu pozi</w:t>
      </w:r>
      <w:r>
        <w:t>tiv este cazul lecției numărul șase</w:t>
      </w:r>
      <w:r w:rsidRPr="00A839E7">
        <w:t>, unde elevi</w:t>
      </w:r>
      <w:r>
        <w:t>lor le sunt prezentate</w:t>
      </w:r>
      <w:r w:rsidRPr="00A839E7">
        <w:t xml:space="preserve"> atât </w:t>
      </w:r>
      <w:r>
        <w:t xml:space="preserve">femei cât și bărbați care au reușit în carieră. </w:t>
      </w:r>
      <w:r w:rsidRPr="00A839E7">
        <w:t>Ar fi</w:t>
      </w:r>
      <w:r w:rsidR="00ED3380">
        <w:t xml:space="preserve"> de</w:t>
      </w:r>
      <w:r w:rsidRPr="00A839E7">
        <w:t xml:space="preserve"> re</w:t>
      </w:r>
      <w:r w:rsidR="00ED3380">
        <w:t xml:space="preserve">comandat ca profesorii să încurajeze </w:t>
      </w:r>
      <w:r w:rsidRPr="00A839E7">
        <w:t>studenților să studieze / să intervieveze bărbați</w:t>
      </w:r>
      <w:r w:rsidR="00ED3380">
        <w:t xml:space="preserve"> și femei care activează</w:t>
      </w:r>
      <w:r w:rsidRPr="00A839E7">
        <w:t xml:space="preserve"> în medii netradiționale.</w:t>
      </w:r>
    </w:p>
    <w:p w:rsidR="00A839E7" w:rsidRDefault="00A839E7" w:rsidP="0013089E"/>
    <w:p w:rsidR="00ED3380" w:rsidRPr="00ED3380" w:rsidRDefault="00ED3380" w:rsidP="00ED3380">
      <w:pPr>
        <w:pStyle w:val="Titlu2"/>
        <w:spacing w:before="0" w:line="240" w:lineRule="auto"/>
        <w:rPr>
          <w:rFonts w:asciiTheme="minorHAnsi" w:hAnsiTheme="minorHAnsi" w:cstheme="minorHAnsi"/>
        </w:rPr>
      </w:pPr>
      <w:bookmarkStart w:id="13" w:name="_Toc497049324"/>
      <w:r w:rsidRPr="00ED3380">
        <w:rPr>
          <w:rFonts w:asciiTheme="minorHAnsi" w:hAnsiTheme="minorHAnsi" w:cstheme="minorHAnsi"/>
        </w:rPr>
        <w:t>4.4. Clasa a VIII-a</w:t>
      </w:r>
      <w:bookmarkEnd w:id="13"/>
      <w:r w:rsidRPr="00ED3380">
        <w:rPr>
          <w:rFonts w:asciiTheme="minorHAnsi" w:hAnsiTheme="minorHAnsi" w:cstheme="minorHAnsi"/>
        </w:rPr>
        <w:t xml:space="preserve"> </w:t>
      </w:r>
    </w:p>
    <w:p w:rsidR="00ED3380" w:rsidRDefault="00ED3380" w:rsidP="00ED3380">
      <w:pPr>
        <w:spacing w:after="0" w:line="240" w:lineRule="auto"/>
      </w:pPr>
    </w:p>
    <w:p w:rsidR="00ED3380" w:rsidRDefault="00ED3380" w:rsidP="00ED3380">
      <w:pPr>
        <w:spacing w:after="0" w:line="240" w:lineRule="auto"/>
        <w:jc w:val="both"/>
      </w:pPr>
      <w:r w:rsidRPr="00ED3380">
        <w:rPr>
          <w:b/>
        </w:rPr>
        <w:t xml:space="preserve">Abordarea generală este evaluată ca fiind sensibilă la </w:t>
      </w:r>
      <w:r>
        <w:rPr>
          <w:b/>
        </w:rPr>
        <w:t>dimensiunea egalității de gen</w:t>
      </w:r>
      <w:r w:rsidRPr="00ED3380">
        <w:rPr>
          <w:b/>
        </w:rPr>
        <w:t>.</w:t>
      </w:r>
      <w:r w:rsidRPr="00ED3380">
        <w:t xml:space="preserve"> </w:t>
      </w:r>
      <w:r>
        <w:t xml:space="preserve">Și în acest caz observăm aceeași </w:t>
      </w:r>
      <w:r w:rsidRPr="00ED3380">
        <w:t xml:space="preserve">abordarea din clasele anterioare, și anume o abordare care îi ajută pe fiecare băiat și </w:t>
      </w:r>
      <w:r>
        <w:t>fată</w:t>
      </w:r>
      <w:r w:rsidRPr="00ED3380">
        <w:t xml:space="preserve"> să își analizeze propriile capacități și trăsături personale în luarea deciziei privind cariera.</w:t>
      </w:r>
    </w:p>
    <w:p w:rsidR="00A839E7" w:rsidRDefault="00A839E7" w:rsidP="00ED3380">
      <w:pPr>
        <w:spacing w:after="0" w:line="240" w:lineRule="auto"/>
      </w:pPr>
    </w:p>
    <w:p w:rsidR="00ED3380" w:rsidRDefault="00ED3380" w:rsidP="00ED3380">
      <w:pPr>
        <w:spacing w:after="0" w:line="240" w:lineRule="auto"/>
        <w:jc w:val="both"/>
      </w:pPr>
      <w:r w:rsidRPr="00ED3380">
        <w:rPr>
          <w:b/>
        </w:rPr>
        <w:t xml:space="preserve">Folosirea diferitelor teste de personalitate și de capacitate este o abordare bună pentru a încuraja studenții să decidă </w:t>
      </w:r>
      <w:r w:rsidR="00B84ABE">
        <w:rPr>
          <w:b/>
        </w:rPr>
        <w:t>asupra opțiunilor de carieră într-un mod lipsit de prejudicii de gen</w:t>
      </w:r>
      <w:r w:rsidRPr="00ED3380">
        <w:rPr>
          <w:b/>
        </w:rPr>
        <w:t>.</w:t>
      </w:r>
      <w:r w:rsidRPr="00ED3380">
        <w:t xml:space="preserve"> Utilizarea </w:t>
      </w:r>
      <w:r w:rsidR="00AB182B">
        <w:t>testelor (de personalitate, psihologice, analitice)</w:t>
      </w:r>
      <w:r w:rsidRPr="00ED3380">
        <w:t xml:space="preserve"> este o modalitate prin care elevii </w:t>
      </w:r>
      <w:r w:rsidR="00AB182B">
        <w:t xml:space="preserve">au șansa </w:t>
      </w:r>
      <w:r w:rsidRPr="00ED3380">
        <w:t xml:space="preserve">să se descopere și să </w:t>
      </w:r>
      <w:r w:rsidR="00AB182B">
        <w:t>găsească</w:t>
      </w:r>
      <w:r w:rsidRPr="00ED3380">
        <w:t xml:space="preserve"> motive solide privind modul</w:t>
      </w:r>
      <w:r w:rsidR="00AB182B">
        <w:t xml:space="preserve"> lor individual de planificare a carierei</w:t>
      </w:r>
      <w:r w:rsidRPr="00ED3380">
        <w:t xml:space="preserve">. Profesorii </w:t>
      </w:r>
      <w:r w:rsidR="00AB182B">
        <w:t xml:space="preserve">sunt încurajați să analizeze orice </w:t>
      </w:r>
      <w:proofErr w:type="spellStart"/>
      <w:r w:rsidR="00AB182B">
        <w:t>tipaje</w:t>
      </w:r>
      <w:proofErr w:type="spellEnd"/>
      <w:r w:rsidR="00AB182B">
        <w:t xml:space="preserve"> de gen</w:t>
      </w:r>
      <w:r w:rsidRPr="00ED3380">
        <w:t xml:space="preserve"> în modul în care băieții și fetele </w:t>
      </w:r>
      <w:r w:rsidR="00AB182B">
        <w:t>optează pentru trăsături</w:t>
      </w:r>
      <w:r w:rsidRPr="00ED3380">
        <w:t xml:space="preserve"> personale </w:t>
      </w:r>
      <w:r w:rsidR="00AB182B">
        <w:t>în raport cu anumite profesii</w:t>
      </w:r>
      <w:r w:rsidRPr="00ED3380">
        <w:t>. Dacă există astfel de tendințe, acestea ar trebui dezbătute în mod critic, pentru a ajuta elevii și băieții să fie mai conștienți de ele.</w:t>
      </w:r>
    </w:p>
    <w:p w:rsidR="00A839E7" w:rsidRDefault="00A839E7" w:rsidP="00ED3380">
      <w:pPr>
        <w:spacing w:after="0" w:line="240" w:lineRule="auto"/>
      </w:pPr>
    </w:p>
    <w:p w:rsidR="00A839E7" w:rsidRDefault="00A839E7" w:rsidP="0013089E"/>
    <w:p w:rsidR="00A839E7" w:rsidRDefault="00AB182B" w:rsidP="0013089E">
      <w:r w:rsidRPr="00AB182B">
        <w:rPr>
          <w:noProof/>
          <w:lang w:val="ru-RU" w:eastAsia="ru-RU"/>
        </w:rPr>
        <w:drawing>
          <wp:anchor distT="0" distB="0" distL="114300" distR="114300" simplePos="0" relativeHeight="251673600" behindDoc="1" locked="0" layoutInCell="1" allowOverlap="1">
            <wp:simplePos x="0" y="0"/>
            <wp:positionH relativeFrom="column">
              <wp:posOffset>16402</wp:posOffset>
            </wp:positionH>
            <wp:positionV relativeFrom="paragraph">
              <wp:posOffset>-2648</wp:posOffset>
            </wp:positionV>
            <wp:extent cx="4568406" cy="2363638"/>
            <wp:effectExtent l="19050" t="0" r="22644" b="0"/>
            <wp:wrapTight wrapText="bothSides">
              <wp:wrapPolygon edited="0">
                <wp:start x="-90" y="0"/>
                <wp:lineTo x="-90" y="21587"/>
                <wp:lineTo x="21707" y="21587"/>
                <wp:lineTo x="21707" y="0"/>
                <wp:lineTo x="-90" y="0"/>
              </wp:wrapPolygon>
            </wp:wrapTight>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p w:rsidR="00A839E7" w:rsidRDefault="00A839E7" w:rsidP="0013089E"/>
    <w:p w:rsidR="00A839E7" w:rsidRDefault="00A839E7" w:rsidP="0013089E"/>
    <w:p w:rsidR="00A839E7" w:rsidRDefault="00A839E7" w:rsidP="0013089E"/>
    <w:p w:rsidR="00A839E7" w:rsidRDefault="00A839E7" w:rsidP="0013089E"/>
    <w:p w:rsidR="00A839E7" w:rsidRDefault="00A839E7" w:rsidP="00AB182B">
      <w:pPr>
        <w:spacing w:after="0" w:line="240" w:lineRule="auto"/>
      </w:pPr>
    </w:p>
    <w:p w:rsidR="00A839E7" w:rsidRDefault="00A839E7" w:rsidP="00AB182B">
      <w:pPr>
        <w:spacing w:after="0" w:line="240" w:lineRule="auto"/>
      </w:pPr>
    </w:p>
    <w:p w:rsidR="00AB182B" w:rsidRDefault="00AB182B" w:rsidP="00AB182B">
      <w:pPr>
        <w:spacing w:after="0" w:line="240" w:lineRule="auto"/>
      </w:pPr>
    </w:p>
    <w:p w:rsidR="00AB182B" w:rsidRDefault="00AB182B" w:rsidP="00AB182B">
      <w:pPr>
        <w:spacing w:after="0" w:line="240" w:lineRule="auto"/>
      </w:pPr>
    </w:p>
    <w:p w:rsidR="00A839E7" w:rsidRDefault="00A839E7" w:rsidP="00AB182B">
      <w:pPr>
        <w:spacing w:after="0" w:line="240" w:lineRule="auto"/>
      </w:pPr>
    </w:p>
    <w:p w:rsidR="00AB182B" w:rsidRDefault="00AB182B" w:rsidP="00AB182B">
      <w:pPr>
        <w:pStyle w:val="Titlu2"/>
        <w:spacing w:before="0" w:line="240" w:lineRule="auto"/>
        <w:rPr>
          <w:rFonts w:asciiTheme="minorHAnsi" w:hAnsiTheme="minorHAnsi" w:cstheme="minorHAnsi"/>
          <w:b w:val="0"/>
          <w:i/>
          <w:color w:val="1F497D" w:themeColor="text2"/>
          <w:sz w:val="20"/>
          <w:szCs w:val="20"/>
        </w:rPr>
      </w:pPr>
      <w:bookmarkStart w:id="14" w:name="_Toc497049325"/>
      <w:r>
        <w:rPr>
          <w:rFonts w:asciiTheme="minorHAnsi" w:hAnsiTheme="minorHAnsi" w:cstheme="minorHAnsi"/>
          <w:b w:val="0"/>
          <w:i/>
          <w:color w:val="1F497D" w:themeColor="text2"/>
          <w:sz w:val="20"/>
          <w:szCs w:val="20"/>
        </w:rPr>
        <w:t>Figura 11: Punctajul de evaluare a lecțiilor din clasa VIII-a.</w:t>
      </w:r>
      <w:bookmarkEnd w:id="14"/>
    </w:p>
    <w:p w:rsidR="00A839E7" w:rsidRDefault="00A839E7" w:rsidP="00AB182B">
      <w:pPr>
        <w:spacing w:after="0" w:line="240" w:lineRule="auto"/>
      </w:pPr>
    </w:p>
    <w:p w:rsidR="00A839E7" w:rsidRPr="00AB182B" w:rsidRDefault="00AB182B" w:rsidP="00AB182B">
      <w:pPr>
        <w:pStyle w:val="Titlu2"/>
        <w:spacing w:before="0" w:line="240" w:lineRule="auto"/>
        <w:rPr>
          <w:rFonts w:asciiTheme="minorHAnsi" w:hAnsiTheme="minorHAnsi" w:cstheme="minorHAnsi"/>
        </w:rPr>
      </w:pPr>
      <w:bookmarkStart w:id="15" w:name="_Toc497049326"/>
      <w:r w:rsidRPr="00AB182B">
        <w:rPr>
          <w:rFonts w:asciiTheme="minorHAnsi" w:hAnsiTheme="minorHAnsi" w:cstheme="minorHAnsi"/>
        </w:rPr>
        <w:t>4.5. Clasa a IX-a</w:t>
      </w:r>
      <w:bookmarkEnd w:id="15"/>
      <w:r w:rsidRPr="00AB182B">
        <w:rPr>
          <w:rFonts w:asciiTheme="minorHAnsi" w:hAnsiTheme="minorHAnsi" w:cstheme="minorHAnsi"/>
        </w:rPr>
        <w:t xml:space="preserve"> </w:t>
      </w:r>
    </w:p>
    <w:p w:rsidR="00A839E7" w:rsidRDefault="00A839E7" w:rsidP="00AB182B">
      <w:pPr>
        <w:spacing w:after="0" w:line="240" w:lineRule="auto"/>
      </w:pPr>
    </w:p>
    <w:p w:rsidR="00AB182B" w:rsidRDefault="00AB182B" w:rsidP="00AB182B">
      <w:pPr>
        <w:spacing w:after="0" w:line="240" w:lineRule="auto"/>
        <w:jc w:val="both"/>
      </w:pPr>
      <w:r w:rsidRPr="00AB182B">
        <w:rPr>
          <w:b/>
        </w:rPr>
        <w:t xml:space="preserve">Abordarea generală este sensibilă la </w:t>
      </w:r>
      <w:r>
        <w:rPr>
          <w:b/>
        </w:rPr>
        <w:t>dimensiunea egalității de gen</w:t>
      </w:r>
      <w:r w:rsidRPr="00AB182B">
        <w:rPr>
          <w:b/>
        </w:rPr>
        <w:t>.</w:t>
      </w:r>
      <w:r w:rsidRPr="00AB182B">
        <w:t xml:space="preserve"> Abordarea din a cincea lecție este foarte potrivită. Datele arată că cea mai mare parte a muncii informale este realizată de băieți tineri cu studii incomplete. Concentrarea lecției asupra drepturilor legale ale lucrătorilor minori va beneficia în primul rând de acest grup.</w:t>
      </w:r>
    </w:p>
    <w:p w:rsidR="00AB182B" w:rsidRDefault="00AB182B" w:rsidP="0013089E"/>
    <w:p w:rsidR="00AB182B" w:rsidRDefault="00AB182B" w:rsidP="0013089E">
      <w:r w:rsidRPr="00AB182B">
        <w:rPr>
          <w:noProof/>
          <w:lang w:val="ru-RU" w:eastAsia="ru-RU"/>
        </w:rPr>
        <w:drawing>
          <wp:anchor distT="0" distB="0" distL="114300" distR="114300" simplePos="0" relativeHeight="251674624" behindDoc="1" locked="0" layoutInCell="1" allowOverlap="1">
            <wp:simplePos x="0" y="0"/>
            <wp:positionH relativeFrom="column">
              <wp:posOffset>16402</wp:posOffset>
            </wp:positionH>
            <wp:positionV relativeFrom="paragraph">
              <wp:posOffset>1222</wp:posOffset>
            </wp:positionV>
            <wp:extent cx="4565231" cy="2363638"/>
            <wp:effectExtent l="19050" t="0" r="25819" b="0"/>
            <wp:wrapTight wrapText="bothSides">
              <wp:wrapPolygon edited="0">
                <wp:start x="-90" y="0"/>
                <wp:lineTo x="-90" y="21587"/>
                <wp:lineTo x="21722" y="21587"/>
                <wp:lineTo x="21722" y="0"/>
                <wp:lineTo x="-90" y="0"/>
              </wp:wrapPolygon>
            </wp:wrapTight>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p w:rsidR="00AB182B" w:rsidRDefault="00AB182B" w:rsidP="0013089E"/>
    <w:p w:rsidR="00AB182B" w:rsidRDefault="00AB182B" w:rsidP="0013089E"/>
    <w:p w:rsidR="00AB182B" w:rsidRDefault="00AB182B" w:rsidP="0013089E"/>
    <w:p w:rsidR="00AB182B" w:rsidRDefault="00AB182B" w:rsidP="0013089E"/>
    <w:p w:rsidR="00AB182B" w:rsidRDefault="00AB182B" w:rsidP="0013089E"/>
    <w:p w:rsidR="00AB182B" w:rsidRDefault="00AB182B" w:rsidP="00AB182B">
      <w:pPr>
        <w:spacing w:after="0" w:line="240" w:lineRule="auto"/>
      </w:pPr>
    </w:p>
    <w:p w:rsidR="00AB182B" w:rsidRDefault="00AB182B" w:rsidP="00AB182B">
      <w:pPr>
        <w:spacing w:after="0" w:line="240" w:lineRule="auto"/>
      </w:pPr>
    </w:p>
    <w:p w:rsidR="00AB182B" w:rsidRDefault="00AB182B" w:rsidP="009C2A95">
      <w:pPr>
        <w:pStyle w:val="Titlu2"/>
        <w:spacing w:before="0" w:line="240" w:lineRule="auto"/>
        <w:rPr>
          <w:rFonts w:asciiTheme="minorHAnsi" w:hAnsiTheme="minorHAnsi" w:cstheme="minorHAnsi"/>
          <w:b w:val="0"/>
          <w:i/>
          <w:color w:val="1F497D" w:themeColor="text2"/>
          <w:sz w:val="20"/>
          <w:szCs w:val="20"/>
        </w:rPr>
      </w:pPr>
      <w:bookmarkStart w:id="16" w:name="_Toc497049327"/>
      <w:r>
        <w:rPr>
          <w:rFonts w:asciiTheme="minorHAnsi" w:hAnsiTheme="minorHAnsi" w:cstheme="minorHAnsi"/>
          <w:b w:val="0"/>
          <w:i/>
          <w:color w:val="1F497D" w:themeColor="text2"/>
          <w:sz w:val="20"/>
          <w:szCs w:val="20"/>
        </w:rPr>
        <w:t>Figura 12: Punctajul de evaluare a lecțiilor din clasa IX-a.</w:t>
      </w:r>
      <w:bookmarkEnd w:id="16"/>
    </w:p>
    <w:p w:rsidR="00AB182B" w:rsidRDefault="00AB182B" w:rsidP="009C2A95">
      <w:pPr>
        <w:spacing w:after="0" w:line="240" w:lineRule="auto"/>
      </w:pPr>
    </w:p>
    <w:p w:rsidR="009C2A95" w:rsidRDefault="009C2A95" w:rsidP="009C2A95">
      <w:pPr>
        <w:spacing w:after="0" w:line="240" w:lineRule="auto"/>
        <w:jc w:val="both"/>
      </w:pPr>
      <w:r w:rsidRPr="009C2A95">
        <w:rPr>
          <w:b/>
        </w:rPr>
        <w:t xml:space="preserve">În </w:t>
      </w:r>
      <w:r>
        <w:rPr>
          <w:b/>
        </w:rPr>
        <w:t>cadrul cele dea</w:t>
      </w:r>
      <w:r w:rsidRPr="009C2A95">
        <w:rPr>
          <w:b/>
        </w:rPr>
        <w:t xml:space="preserve"> doua lecție este prezentat un studiu de caz</w:t>
      </w:r>
      <w:r w:rsidRPr="009C2A95">
        <w:t xml:space="preserve">, în care lui Andrei și Galinei </w:t>
      </w:r>
      <w:r>
        <w:t>l</w:t>
      </w:r>
      <w:r w:rsidRPr="009C2A95">
        <w:t>i se dau tr</w:t>
      </w:r>
      <w:r>
        <w:t>ă</w:t>
      </w:r>
      <w:r w:rsidRPr="009C2A95">
        <w:t>s</w:t>
      </w:r>
      <w:r>
        <w:t>ă</w:t>
      </w:r>
      <w:r w:rsidRPr="009C2A95">
        <w:t xml:space="preserve">turi de gen aparent tradiționale, iar studenților li se cere să evalueze punctele slabe și puternice pentru fiecare dintre aceștia în a-și desfășura o carieră în sectorul IT. Nu a fost clar ce anume ar trebui să învețe elevii din acest exercițiu, luând în considerare faptul că acest sector este perceput ca fiind dominat de bărbați și că pe baza </w:t>
      </w:r>
      <w:r>
        <w:t>acestui exercițiu</w:t>
      </w:r>
      <w:r w:rsidRPr="009C2A95">
        <w:t xml:space="preserve"> se pare că el</w:t>
      </w:r>
      <w:r>
        <w:t>evii pot ajunge la concluzia fetele nu sunt tocmai</w:t>
      </w:r>
      <w:r w:rsidRPr="009C2A95">
        <w:t xml:space="preserve"> potrivite pentru o carieră în acest sector.</w:t>
      </w:r>
    </w:p>
    <w:p w:rsidR="00AB182B" w:rsidRDefault="00AB182B" w:rsidP="009C2A95">
      <w:pPr>
        <w:spacing w:after="0" w:line="240" w:lineRule="auto"/>
      </w:pPr>
    </w:p>
    <w:p w:rsidR="009C2A95" w:rsidRDefault="009C2A95" w:rsidP="009C2A95">
      <w:pPr>
        <w:spacing w:after="0" w:line="240" w:lineRule="auto"/>
      </w:pPr>
    </w:p>
    <w:p w:rsidR="009C2A95" w:rsidRDefault="009C2A95" w:rsidP="009C2A95">
      <w:pPr>
        <w:spacing w:after="0" w:line="240" w:lineRule="auto"/>
      </w:pPr>
    </w:p>
    <w:p w:rsidR="009C2A95" w:rsidRDefault="009C2A95" w:rsidP="009C2A95">
      <w:pPr>
        <w:spacing w:after="0" w:line="240" w:lineRule="auto"/>
      </w:pPr>
    </w:p>
    <w:p w:rsidR="009C2A95" w:rsidRDefault="009C2A95" w:rsidP="009C2A95">
      <w:pPr>
        <w:pStyle w:val="Titlu2"/>
        <w:spacing w:before="0" w:line="240" w:lineRule="auto"/>
        <w:rPr>
          <w:rFonts w:asciiTheme="minorHAnsi" w:hAnsiTheme="minorHAnsi" w:cstheme="minorHAnsi"/>
        </w:rPr>
      </w:pPr>
      <w:bookmarkStart w:id="17" w:name="_Toc497049328"/>
      <w:r w:rsidRPr="009C2A95">
        <w:rPr>
          <w:rFonts w:asciiTheme="minorHAnsi" w:hAnsiTheme="minorHAnsi" w:cstheme="minorHAnsi"/>
        </w:rPr>
        <w:t>4.6. Clasa a X-a</w:t>
      </w:r>
      <w:bookmarkEnd w:id="17"/>
      <w:r w:rsidRPr="009C2A95">
        <w:rPr>
          <w:rFonts w:asciiTheme="minorHAnsi" w:hAnsiTheme="minorHAnsi" w:cstheme="minorHAnsi"/>
        </w:rPr>
        <w:t xml:space="preserve"> </w:t>
      </w:r>
    </w:p>
    <w:p w:rsidR="009C2A95" w:rsidRDefault="009C2A95" w:rsidP="009C2A95">
      <w:pPr>
        <w:spacing w:after="0" w:line="240" w:lineRule="auto"/>
      </w:pPr>
    </w:p>
    <w:p w:rsidR="009C2A95" w:rsidRDefault="009C2A95" w:rsidP="009C2A95">
      <w:pPr>
        <w:spacing w:after="0" w:line="240" w:lineRule="auto"/>
        <w:jc w:val="both"/>
      </w:pPr>
      <w:r w:rsidRPr="009C2A95">
        <w:rPr>
          <w:b/>
        </w:rPr>
        <w:t>Abordarea generală este proporțională cu nivelul de relevanță a genului.</w:t>
      </w:r>
      <w:r w:rsidRPr="009C2A95">
        <w:t xml:space="preserve"> Cel mai important decalaj din punctul de vedere al relevanței genului și al integrării perspectivei de gen a fost identificat pentru a doua lecție din acest ciclu. Lecția prezintă elevilor sistemul național de învățământ, avantajele și dezavantajele pe care le poate aduce, pentru a ajuta elevii să aleagă mai bine. Elevii ar fi beneficiat </w:t>
      </w:r>
      <w:r w:rsidR="00205BE6">
        <w:t xml:space="preserve">să înțeleagă </w:t>
      </w:r>
      <w:r w:rsidRPr="009C2A95">
        <w:t>despre preferințele de gen pentru profesii și tipul de educație în Moldova (așa cum este prezentat în prima parte a raportului). Elevii ar fi putut fi încurajați să dezbată în mod critic de ce există o astfel de preferință de gen și de ce aceasta reflectă alegerea lor personală.</w:t>
      </w:r>
    </w:p>
    <w:p w:rsidR="009C2A95" w:rsidRDefault="00205BE6" w:rsidP="009C2A95">
      <w:pPr>
        <w:spacing w:after="0" w:line="240" w:lineRule="auto"/>
      </w:pPr>
      <w:r>
        <w:rPr>
          <w:noProof/>
          <w:lang w:val="ru-RU" w:eastAsia="ru-RU"/>
        </w:rPr>
        <w:drawing>
          <wp:anchor distT="0" distB="0" distL="114300" distR="114300" simplePos="0" relativeHeight="251675648" behindDoc="1" locked="0" layoutInCell="1" allowOverlap="1">
            <wp:simplePos x="0" y="0"/>
            <wp:positionH relativeFrom="column">
              <wp:posOffset>-3175</wp:posOffset>
            </wp:positionH>
            <wp:positionV relativeFrom="paragraph">
              <wp:posOffset>173355</wp:posOffset>
            </wp:positionV>
            <wp:extent cx="4561205" cy="2139315"/>
            <wp:effectExtent l="19050" t="0" r="10795" b="0"/>
            <wp:wrapTight wrapText="bothSides">
              <wp:wrapPolygon edited="0">
                <wp:start x="-90" y="0"/>
                <wp:lineTo x="-90" y="21542"/>
                <wp:lineTo x="21651" y="21542"/>
                <wp:lineTo x="21651" y="0"/>
                <wp:lineTo x="-90" y="0"/>
              </wp:wrapPolygon>
            </wp:wrapTight>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p>
    <w:p w:rsidR="009C2A95" w:rsidRDefault="009C2A95" w:rsidP="009C2A95"/>
    <w:p w:rsidR="009C2A95" w:rsidRDefault="009C2A95" w:rsidP="009C2A95"/>
    <w:p w:rsidR="009C2A95" w:rsidRDefault="009C2A95" w:rsidP="009C2A95"/>
    <w:p w:rsidR="009C2A95" w:rsidRDefault="009C2A95" w:rsidP="009C2A95"/>
    <w:p w:rsidR="009C2A95" w:rsidRDefault="009C2A95" w:rsidP="00205BE6">
      <w:pPr>
        <w:spacing w:after="0" w:line="240" w:lineRule="auto"/>
      </w:pPr>
    </w:p>
    <w:p w:rsidR="009C2A95" w:rsidRDefault="009C2A95" w:rsidP="00205BE6">
      <w:pPr>
        <w:spacing w:after="0" w:line="240" w:lineRule="auto"/>
      </w:pPr>
    </w:p>
    <w:p w:rsidR="00205BE6" w:rsidRDefault="00205BE6" w:rsidP="00205BE6">
      <w:pPr>
        <w:spacing w:after="0" w:line="240" w:lineRule="auto"/>
      </w:pPr>
    </w:p>
    <w:p w:rsidR="00205BE6" w:rsidRDefault="00205BE6" w:rsidP="00205BE6">
      <w:pPr>
        <w:spacing w:after="0" w:line="240" w:lineRule="auto"/>
      </w:pPr>
    </w:p>
    <w:p w:rsidR="00205BE6" w:rsidRDefault="00205BE6" w:rsidP="00205BE6">
      <w:pPr>
        <w:spacing w:after="0" w:line="240" w:lineRule="auto"/>
      </w:pPr>
    </w:p>
    <w:p w:rsidR="00205BE6" w:rsidRPr="00205BE6" w:rsidRDefault="00205BE6" w:rsidP="00205BE6">
      <w:pPr>
        <w:spacing w:after="0" w:line="240" w:lineRule="auto"/>
      </w:pPr>
      <w:r>
        <w:rPr>
          <w:rFonts w:cstheme="minorHAnsi"/>
          <w:i/>
          <w:color w:val="1F497D" w:themeColor="text2"/>
          <w:sz w:val="20"/>
          <w:szCs w:val="20"/>
        </w:rPr>
        <w:t>Figura 13</w:t>
      </w:r>
      <w:r w:rsidRPr="00205BE6">
        <w:rPr>
          <w:rFonts w:cstheme="minorHAnsi"/>
          <w:i/>
          <w:color w:val="1F497D" w:themeColor="text2"/>
          <w:sz w:val="20"/>
          <w:szCs w:val="20"/>
        </w:rPr>
        <w:t xml:space="preserve">: Punctajul de </w:t>
      </w:r>
      <w:r>
        <w:rPr>
          <w:rFonts w:cstheme="minorHAnsi"/>
          <w:i/>
          <w:color w:val="1F497D" w:themeColor="text2"/>
          <w:sz w:val="20"/>
          <w:szCs w:val="20"/>
        </w:rPr>
        <w:t xml:space="preserve">evaluare a lecțiilor din clasa </w:t>
      </w:r>
      <w:r w:rsidRPr="00205BE6">
        <w:rPr>
          <w:rFonts w:cstheme="minorHAnsi"/>
          <w:i/>
          <w:color w:val="1F497D" w:themeColor="text2"/>
          <w:sz w:val="20"/>
          <w:szCs w:val="20"/>
        </w:rPr>
        <w:t>X-a.</w:t>
      </w:r>
    </w:p>
    <w:p w:rsidR="00205BE6" w:rsidRDefault="00205BE6" w:rsidP="00205BE6">
      <w:pPr>
        <w:pStyle w:val="Titlu2"/>
        <w:spacing w:before="0" w:line="240" w:lineRule="auto"/>
        <w:rPr>
          <w:rFonts w:asciiTheme="minorHAnsi" w:hAnsiTheme="minorHAnsi" w:cstheme="minorHAnsi"/>
        </w:rPr>
      </w:pPr>
    </w:p>
    <w:p w:rsidR="009C2A95" w:rsidRPr="00205BE6" w:rsidRDefault="00205BE6" w:rsidP="00205BE6">
      <w:pPr>
        <w:pStyle w:val="Titlu2"/>
        <w:spacing w:before="0" w:line="240" w:lineRule="auto"/>
        <w:rPr>
          <w:rFonts w:asciiTheme="minorHAnsi" w:hAnsiTheme="minorHAnsi" w:cstheme="minorHAnsi"/>
        </w:rPr>
      </w:pPr>
      <w:bookmarkStart w:id="18" w:name="_Toc497049329"/>
      <w:r w:rsidRPr="00205BE6">
        <w:rPr>
          <w:rFonts w:asciiTheme="minorHAnsi" w:hAnsiTheme="minorHAnsi" w:cstheme="minorHAnsi"/>
        </w:rPr>
        <w:t>4.7. Clasa a XI-a</w:t>
      </w:r>
      <w:bookmarkEnd w:id="18"/>
      <w:r w:rsidRPr="00205BE6">
        <w:rPr>
          <w:rFonts w:asciiTheme="minorHAnsi" w:hAnsiTheme="minorHAnsi" w:cstheme="minorHAnsi"/>
        </w:rPr>
        <w:t xml:space="preserve"> </w:t>
      </w:r>
    </w:p>
    <w:p w:rsidR="009C2A95" w:rsidRDefault="009C2A95" w:rsidP="00205BE6">
      <w:pPr>
        <w:spacing w:after="0" w:line="240" w:lineRule="auto"/>
      </w:pPr>
    </w:p>
    <w:p w:rsidR="00205BE6" w:rsidRDefault="00205BE6" w:rsidP="00205BE6">
      <w:pPr>
        <w:spacing w:after="0" w:line="240" w:lineRule="auto"/>
        <w:jc w:val="both"/>
      </w:pPr>
      <w:r w:rsidRPr="00205BE6">
        <w:rPr>
          <w:b/>
        </w:rPr>
        <w:t>Diferența de gen (d</w:t>
      </w:r>
      <w:r>
        <w:rPr>
          <w:b/>
        </w:rPr>
        <w:t>iferența dintre relevanța de gen</w:t>
      </w:r>
      <w:r w:rsidRPr="00205BE6">
        <w:rPr>
          <w:b/>
        </w:rPr>
        <w:t xml:space="preserve"> și scorul de integrare a dimensiunii de gen) este un pic mai semnificativă pentru acest ciclu comparativ cu celelalte clase din program.</w:t>
      </w:r>
      <w:r>
        <w:t xml:space="preserve"> În a șasea lecție studenților le este prezentat m</w:t>
      </w:r>
      <w:r w:rsidRPr="00205BE6">
        <w:t xml:space="preserve">odurile cele mai eficiente de comunicare cu potențialii angajatori. Există sfaturi relevante cu privire la modul de negociere a remunerării financiare, de exemplu. Cu toate acestea, elevii, în special </w:t>
      </w:r>
      <w:r>
        <w:t>studentele</w:t>
      </w:r>
      <w:r w:rsidRPr="00205BE6">
        <w:t xml:space="preserve">, ar fi beneficiat de asemenea dacă </w:t>
      </w:r>
      <w:r>
        <w:t>în cadrul lecției ar fi existat</w:t>
      </w:r>
      <w:r w:rsidRPr="00205BE6">
        <w:t xml:space="preserve"> sfaturi practice cu privire la modul de abordare a eventualelor situații discriminatorii: (i) cum să recunoaștem o astfel de situație; (ii) </w:t>
      </w:r>
      <w:r>
        <w:t>care sunt drepturile conform legislație naționale (</w:t>
      </w:r>
      <w:r w:rsidRPr="00205BE6">
        <w:t>iii) cum să procedați în astfel de situații. În mod similar, a șaptea lecție ar fi putut fi completată pe sfaturi practice în ceea ce privește soluționarea conflictelor și cazurile potențiale de cazuri de hărțuire sexuală</w:t>
      </w:r>
      <w:r w:rsidR="007264F9">
        <w:t xml:space="preserve">. </w:t>
      </w:r>
    </w:p>
    <w:p w:rsidR="007264F9" w:rsidRDefault="007264F9" w:rsidP="00205BE6">
      <w:pPr>
        <w:spacing w:after="0" w:line="240" w:lineRule="auto"/>
        <w:jc w:val="both"/>
      </w:pPr>
    </w:p>
    <w:p w:rsidR="00205BE6" w:rsidRDefault="007264F9" w:rsidP="00205BE6">
      <w:pPr>
        <w:spacing w:after="0" w:line="240" w:lineRule="auto"/>
      </w:pPr>
      <w:r w:rsidRPr="007264F9">
        <w:rPr>
          <w:noProof/>
          <w:lang w:val="ru-RU" w:eastAsia="ru-RU"/>
        </w:rPr>
        <w:drawing>
          <wp:anchor distT="0" distB="0" distL="114300" distR="114300" simplePos="0" relativeHeight="251676672" behindDoc="1" locked="0" layoutInCell="1" allowOverlap="1">
            <wp:simplePos x="0" y="0"/>
            <wp:positionH relativeFrom="column">
              <wp:posOffset>15875</wp:posOffset>
            </wp:positionH>
            <wp:positionV relativeFrom="paragraph">
              <wp:posOffset>-1905</wp:posOffset>
            </wp:positionV>
            <wp:extent cx="5156835" cy="2139315"/>
            <wp:effectExtent l="19050" t="0" r="24765" b="0"/>
            <wp:wrapTight wrapText="bothSides">
              <wp:wrapPolygon edited="0">
                <wp:start x="-80" y="0"/>
                <wp:lineTo x="-80" y="21542"/>
                <wp:lineTo x="21704" y="21542"/>
                <wp:lineTo x="21704" y="0"/>
                <wp:lineTo x="-80" y="0"/>
              </wp:wrapPolygon>
            </wp:wrapTight>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p>
    <w:p w:rsidR="009C2A95" w:rsidRDefault="009C2A95" w:rsidP="009C2A95"/>
    <w:p w:rsidR="009C2A95" w:rsidRDefault="009C2A95" w:rsidP="009C2A95"/>
    <w:p w:rsidR="009C2A95" w:rsidRDefault="009C2A95" w:rsidP="009C2A95"/>
    <w:p w:rsidR="009C2A95" w:rsidRDefault="009C2A95" w:rsidP="007264F9">
      <w:pPr>
        <w:spacing w:after="0" w:line="240" w:lineRule="auto"/>
      </w:pPr>
    </w:p>
    <w:p w:rsidR="009C2A95" w:rsidRDefault="009C2A95" w:rsidP="007264F9">
      <w:pPr>
        <w:spacing w:after="0" w:line="240" w:lineRule="auto"/>
      </w:pPr>
    </w:p>
    <w:p w:rsidR="009C2A95" w:rsidRDefault="009C2A95" w:rsidP="007264F9">
      <w:pPr>
        <w:spacing w:after="0" w:line="240" w:lineRule="auto"/>
      </w:pPr>
    </w:p>
    <w:p w:rsidR="007264F9" w:rsidRDefault="007264F9" w:rsidP="007264F9">
      <w:pPr>
        <w:spacing w:after="0" w:line="240" w:lineRule="auto"/>
      </w:pPr>
    </w:p>
    <w:p w:rsidR="007264F9" w:rsidRDefault="007264F9" w:rsidP="007264F9">
      <w:pPr>
        <w:spacing w:after="0" w:line="240" w:lineRule="auto"/>
      </w:pPr>
    </w:p>
    <w:p w:rsidR="007264F9" w:rsidRDefault="007264F9" w:rsidP="007264F9">
      <w:pPr>
        <w:spacing w:after="0" w:line="240" w:lineRule="auto"/>
      </w:pPr>
    </w:p>
    <w:p w:rsidR="007264F9" w:rsidRPr="00205BE6" w:rsidRDefault="007264F9" w:rsidP="007264F9">
      <w:pPr>
        <w:spacing w:after="0" w:line="240" w:lineRule="auto"/>
      </w:pPr>
      <w:r>
        <w:rPr>
          <w:rFonts w:cstheme="minorHAnsi"/>
          <w:i/>
          <w:color w:val="1F497D" w:themeColor="text2"/>
          <w:sz w:val="20"/>
          <w:szCs w:val="20"/>
        </w:rPr>
        <w:t>Figura  14</w:t>
      </w:r>
      <w:r w:rsidRPr="00205BE6">
        <w:rPr>
          <w:rFonts w:cstheme="minorHAnsi"/>
          <w:i/>
          <w:color w:val="1F497D" w:themeColor="text2"/>
          <w:sz w:val="20"/>
          <w:szCs w:val="20"/>
        </w:rPr>
        <w:t xml:space="preserve">: Punctajul de </w:t>
      </w:r>
      <w:r>
        <w:rPr>
          <w:rFonts w:cstheme="minorHAnsi"/>
          <w:i/>
          <w:color w:val="1F497D" w:themeColor="text2"/>
          <w:sz w:val="20"/>
          <w:szCs w:val="20"/>
        </w:rPr>
        <w:t xml:space="preserve">evaluare a lecțiilor din clasa </w:t>
      </w:r>
      <w:r w:rsidRPr="00205BE6">
        <w:rPr>
          <w:rFonts w:cstheme="minorHAnsi"/>
          <w:i/>
          <w:color w:val="1F497D" w:themeColor="text2"/>
          <w:sz w:val="20"/>
          <w:szCs w:val="20"/>
        </w:rPr>
        <w:t>X</w:t>
      </w:r>
      <w:r>
        <w:rPr>
          <w:rFonts w:cstheme="minorHAnsi"/>
          <w:i/>
          <w:color w:val="1F497D" w:themeColor="text2"/>
          <w:sz w:val="20"/>
          <w:szCs w:val="20"/>
        </w:rPr>
        <w:t>I</w:t>
      </w:r>
      <w:r w:rsidRPr="00205BE6">
        <w:rPr>
          <w:rFonts w:cstheme="minorHAnsi"/>
          <w:i/>
          <w:color w:val="1F497D" w:themeColor="text2"/>
          <w:sz w:val="20"/>
          <w:szCs w:val="20"/>
        </w:rPr>
        <w:t>-a.</w:t>
      </w:r>
    </w:p>
    <w:p w:rsidR="007264F9" w:rsidRPr="007264F9" w:rsidRDefault="007264F9" w:rsidP="007264F9">
      <w:pPr>
        <w:pStyle w:val="Titlu2"/>
        <w:spacing w:before="0" w:line="240" w:lineRule="auto"/>
        <w:rPr>
          <w:rFonts w:asciiTheme="minorHAnsi" w:hAnsiTheme="minorHAnsi" w:cstheme="minorHAnsi"/>
        </w:rPr>
      </w:pPr>
      <w:bookmarkStart w:id="19" w:name="_Toc497049330"/>
      <w:r w:rsidRPr="007264F9">
        <w:rPr>
          <w:rFonts w:asciiTheme="minorHAnsi" w:hAnsiTheme="minorHAnsi" w:cstheme="minorHAnsi"/>
        </w:rPr>
        <w:t>4.8  Clasa a XII-a</w:t>
      </w:r>
      <w:bookmarkEnd w:id="19"/>
      <w:r w:rsidRPr="007264F9">
        <w:rPr>
          <w:rFonts w:asciiTheme="minorHAnsi" w:hAnsiTheme="minorHAnsi" w:cstheme="minorHAnsi"/>
        </w:rPr>
        <w:t xml:space="preserve"> </w:t>
      </w:r>
    </w:p>
    <w:p w:rsidR="009C2A95" w:rsidRDefault="009C2A95" w:rsidP="007264F9">
      <w:pPr>
        <w:spacing w:after="0" w:line="240" w:lineRule="auto"/>
      </w:pPr>
    </w:p>
    <w:p w:rsidR="007264F9" w:rsidRPr="009C2A95" w:rsidRDefault="007264F9" w:rsidP="007264F9">
      <w:pPr>
        <w:spacing w:after="0" w:line="240" w:lineRule="auto"/>
        <w:jc w:val="both"/>
      </w:pPr>
      <w:r w:rsidRPr="003B3533">
        <w:rPr>
          <w:b/>
        </w:rPr>
        <w:t>În concordanță cu abordarea generală, materialele elaborate pentru clasa a XII-a sunt evaluate ca fiind sensibile la gen.</w:t>
      </w:r>
      <w:r w:rsidRPr="003B3533">
        <w:t xml:space="preserve"> Cea de-a cincea lecție introduce tema</w:t>
      </w:r>
      <w:r w:rsidR="003B3533">
        <w:t xml:space="preserve"> importanței instituțiilor</w:t>
      </w:r>
      <w:r w:rsidRPr="003B3533">
        <w:t xml:space="preserve"> mass-media ca un instrument pentru studenți în căutarea unui loc de muncă, dar și pentru a se educa despre piața forței de muncă și viața profesională în general. De asemenea, </w:t>
      </w:r>
      <w:r w:rsidR="003B3533">
        <w:t>studenții sunt încurajați să</w:t>
      </w:r>
      <w:r w:rsidRPr="003B3533">
        <w:t xml:space="preserve"> critici în evaluarea </w:t>
      </w:r>
      <w:r w:rsidR="003B3533">
        <w:t>produselor</w:t>
      </w:r>
      <w:r w:rsidRPr="003B3533">
        <w:t xml:space="preserve"> mediatice, inclusiv din perspectiva egalității de gen. De cele mai multe </w:t>
      </w:r>
      <w:r w:rsidR="003B3533">
        <w:t>ori, mass-media are un mod tradițional de abordare a perspectivei de gen pe piața muncii</w:t>
      </w:r>
      <w:r w:rsidRPr="003B3533">
        <w:t xml:space="preserve">, </w:t>
      </w:r>
      <w:r w:rsidR="003B3533">
        <w:t>elevii</w:t>
      </w:r>
      <w:r w:rsidRPr="003B3533">
        <w:t xml:space="preserve"> ar trebui să fie conștienți de acest lucru. Cea de-a șasea lecție ar fi putut beneficia de oferirea de către studenți (în special fete) unor sfaturi</w:t>
      </w:r>
      <w:r w:rsidR="003B3533">
        <w:t xml:space="preserve"> practice</w:t>
      </w:r>
      <w:r w:rsidRPr="003B3533">
        <w:t xml:space="preserve"> despre cum </w:t>
      </w:r>
      <w:r w:rsidR="003B3533">
        <w:t>să fie mai conștiente în cazul în care</w:t>
      </w:r>
      <w:r w:rsidRPr="003B3533">
        <w:t xml:space="preserve"> potențialul angajator pune întrebări discriminatorii cu privire la viața personală și </w:t>
      </w:r>
      <w:r w:rsidR="003B3533">
        <w:t>intențiile de a crea o familie</w:t>
      </w:r>
      <w:r w:rsidRPr="003B3533">
        <w:t>.</w:t>
      </w:r>
      <w:r w:rsidR="003B3533">
        <w:t xml:space="preserve"> Deși acest lucru pare să fie mult mai revelat în pentru studenții cin colegii și scoli profesionale. </w:t>
      </w:r>
    </w:p>
    <w:p w:rsidR="009C2A95" w:rsidRDefault="009C2A95" w:rsidP="009C2A95">
      <w:pPr>
        <w:spacing w:after="0" w:line="240" w:lineRule="auto"/>
      </w:pPr>
    </w:p>
    <w:p w:rsidR="009C2A95" w:rsidRDefault="007264F9" w:rsidP="009C2A95">
      <w:pPr>
        <w:spacing w:after="0" w:line="240" w:lineRule="auto"/>
      </w:pPr>
      <w:r w:rsidRPr="007264F9">
        <w:rPr>
          <w:noProof/>
          <w:lang w:val="ru-RU" w:eastAsia="ru-RU"/>
        </w:rPr>
        <w:drawing>
          <wp:inline distT="0" distB="0" distL="0" distR="0">
            <wp:extent cx="5733607" cy="2035833"/>
            <wp:effectExtent l="19050" t="0" r="19493" b="2517"/>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0464E9" w:rsidRPr="00205BE6" w:rsidRDefault="000464E9" w:rsidP="00B903CE">
      <w:pPr>
        <w:spacing w:after="0" w:line="240" w:lineRule="auto"/>
      </w:pPr>
      <w:r>
        <w:rPr>
          <w:rFonts w:cstheme="minorHAnsi"/>
          <w:i/>
          <w:color w:val="1F497D" w:themeColor="text2"/>
          <w:sz w:val="20"/>
          <w:szCs w:val="20"/>
        </w:rPr>
        <w:t>Figura  15</w:t>
      </w:r>
      <w:r w:rsidRPr="00205BE6">
        <w:rPr>
          <w:rFonts w:cstheme="minorHAnsi"/>
          <w:i/>
          <w:color w:val="1F497D" w:themeColor="text2"/>
          <w:sz w:val="20"/>
          <w:szCs w:val="20"/>
        </w:rPr>
        <w:t xml:space="preserve">: Punctajul de </w:t>
      </w:r>
      <w:r>
        <w:rPr>
          <w:rFonts w:cstheme="minorHAnsi"/>
          <w:i/>
          <w:color w:val="1F497D" w:themeColor="text2"/>
          <w:sz w:val="20"/>
          <w:szCs w:val="20"/>
        </w:rPr>
        <w:t xml:space="preserve">evaluare a lecțiilor din clasa </w:t>
      </w:r>
      <w:r w:rsidRPr="00205BE6">
        <w:rPr>
          <w:rFonts w:cstheme="minorHAnsi"/>
          <w:i/>
          <w:color w:val="1F497D" w:themeColor="text2"/>
          <w:sz w:val="20"/>
          <w:szCs w:val="20"/>
        </w:rPr>
        <w:t>X</w:t>
      </w:r>
      <w:r>
        <w:rPr>
          <w:rFonts w:cstheme="minorHAnsi"/>
          <w:i/>
          <w:color w:val="1F497D" w:themeColor="text2"/>
          <w:sz w:val="20"/>
          <w:szCs w:val="20"/>
        </w:rPr>
        <w:t>II</w:t>
      </w:r>
      <w:r w:rsidRPr="00205BE6">
        <w:rPr>
          <w:rFonts w:cstheme="minorHAnsi"/>
          <w:i/>
          <w:color w:val="1F497D" w:themeColor="text2"/>
          <w:sz w:val="20"/>
          <w:szCs w:val="20"/>
        </w:rPr>
        <w:t>-a.</w:t>
      </w:r>
    </w:p>
    <w:p w:rsidR="00A839E7" w:rsidRDefault="00A839E7" w:rsidP="00B903CE">
      <w:pPr>
        <w:spacing w:after="0" w:line="240" w:lineRule="auto"/>
      </w:pPr>
    </w:p>
    <w:p w:rsidR="000464E9" w:rsidRPr="00B27C70" w:rsidRDefault="000464E9" w:rsidP="00B903CE">
      <w:pPr>
        <w:pStyle w:val="Titlu2"/>
        <w:spacing w:before="0" w:line="240" w:lineRule="auto"/>
        <w:rPr>
          <w:rFonts w:asciiTheme="minorHAnsi" w:hAnsiTheme="minorHAnsi" w:cstheme="minorHAnsi"/>
        </w:rPr>
      </w:pPr>
      <w:bookmarkStart w:id="20" w:name="_Toc497049331"/>
      <w:r w:rsidRPr="00B27C70">
        <w:rPr>
          <w:rFonts w:asciiTheme="minorHAnsi" w:hAnsiTheme="minorHAnsi" w:cstheme="minorHAnsi"/>
        </w:rPr>
        <w:t xml:space="preserve">4.9. </w:t>
      </w:r>
      <w:r w:rsidR="00B27C70" w:rsidRPr="00B27C70">
        <w:rPr>
          <w:rFonts w:asciiTheme="minorHAnsi" w:hAnsiTheme="minorHAnsi" w:cstheme="minorHAnsi"/>
        </w:rPr>
        <w:t>Școala profesională, ciclul post secundar</w:t>
      </w:r>
      <w:bookmarkEnd w:id="20"/>
      <w:r w:rsidR="00B27C70" w:rsidRPr="00B27C70">
        <w:rPr>
          <w:rFonts w:asciiTheme="minorHAnsi" w:hAnsiTheme="minorHAnsi" w:cstheme="minorHAnsi"/>
        </w:rPr>
        <w:t xml:space="preserve"> </w:t>
      </w:r>
    </w:p>
    <w:p w:rsidR="00B27C70" w:rsidRDefault="00B27C70" w:rsidP="00B27C70">
      <w:pPr>
        <w:spacing w:after="0" w:line="240" w:lineRule="auto"/>
      </w:pPr>
    </w:p>
    <w:p w:rsidR="00B27C70" w:rsidRDefault="003B3533" w:rsidP="00B27C70">
      <w:pPr>
        <w:spacing w:after="0" w:line="240" w:lineRule="auto"/>
        <w:jc w:val="both"/>
      </w:pPr>
      <w:r>
        <w:rPr>
          <w:b/>
          <w:noProof/>
          <w:lang w:val="ru-RU" w:eastAsia="ru-RU"/>
        </w:rPr>
        <w:drawing>
          <wp:anchor distT="0" distB="0" distL="114300" distR="114300" simplePos="0" relativeHeight="251677696" behindDoc="1" locked="0" layoutInCell="1" allowOverlap="1">
            <wp:simplePos x="0" y="0"/>
            <wp:positionH relativeFrom="column">
              <wp:posOffset>128270</wp:posOffset>
            </wp:positionH>
            <wp:positionV relativeFrom="paragraph">
              <wp:posOffset>1303655</wp:posOffset>
            </wp:positionV>
            <wp:extent cx="5622925" cy="1871345"/>
            <wp:effectExtent l="19050" t="0" r="15875" b="0"/>
            <wp:wrapTight wrapText="bothSides">
              <wp:wrapPolygon edited="0">
                <wp:start x="-73" y="0"/>
                <wp:lineTo x="-73" y="21549"/>
                <wp:lineTo x="21661" y="21549"/>
                <wp:lineTo x="21661" y="0"/>
                <wp:lineTo x="-73" y="0"/>
              </wp:wrapPolygon>
            </wp:wrapTight>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r w:rsidR="00B27C70" w:rsidRPr="003B3533">
        <w:rPr>
          <w:b/>
        </w:rPr>
        <w:t xml:space="preserve">Materialele sunt evaluate ca fiind sensibile la </w:t>
      </w:r>
      <w:r>
        <w:rPr>
          <w:b/>
        </w:rPr>
        <w:t>dimensiunea egalității de gen</w:t>
      </w:r>
      <w:r w:rsidR="00B27C70" w:rsidRPr="003B3533">
        <w:rPr>
          <w:b/>
        </w:rPr>
        <w:t>.</w:t>
      </w:r>
      <w:r w:rsidR="00B27C70" w:rsidRPr="003B3533">
        <w:t xml:space="preserve"> A șasea lecție introduce tema drepturilor muncii, inclusiv a drepturilor persoanelor </w:t>
      </w:r>
      <w:r>
        <w:t>cu dezabilități</w:t>
      </w:r>
      <w:r w:rsidR="00B27C70" w:rsidRPr="003B3533">
        <w:t xml:space="preserve"> pe piața muncii. Subiectul ar putea fi extins pentru a include informații mai specifice despre discriminarea de gen pe piața muncii, subliniind cazuri ilustrative de la consiliul de egalitate din Moldova</w:t>
      </w:r>
      <w:r>
        <w:rPr>
          <w:rStyle w:val="Referinnotdesubsol"/>
        </w:rPr>
        <w:footnoteReference w:id="3"/>
      </w:r>
      <w:r w:rsidR="00B27C70" w:rsidRPr="003B3533">
        <w:t xml:space="preserve">. Așa cum am menționat mai sus, lecția a opta ar fi putut beneficia de oferirea de informații elevilor (în special fetelor) </w:t>
      </w:r>
      <w:r>
        <w:t xml:space="preserve">sau a </w:t>
      </w:r>
      <w:r w:rsidRPr="003B3533">
        <w:t>unor sfaturi</w:t>
      </w:r>
      <w:r>
        <w:t xml:space="preserve"> practice</w:t>
      </w:r>
      <w:r w:rsidRPr="003B3533">
        <w:t xml:space="preserve"> despre cum </w:t>
      </w:r>
      <w:r>
        <w:t>să fie mai conștiente în cazul în care</w:t>
      </w:r>
      <w:r w:rsidRPr="003B3533">
        <w:t xml:space="preserve"> potențialul angajator pune întrebări discriminatorii cu privire </w:t>
      </w:r>
      <w:r>
        <w:t>la viața personală și intențiile de a crea o familie</w:t>
      </w:r>
      <w:r w:rsidRPr="003B3533">
        <w:t>.</w:t>
      </w:r>
    </w:p>
    <w:p w:rsidR="00B903CE" w:rsidRPr="00205BE6" w:rsidRDefault="00B903CE" w:rsidP="00B903CE">
      <w:pPr>
        <w:spacing w:after="0" w:line="240" w:lineRule="auto"/>
      </w:pPr>
      <w:r>
        <w:rPr>
          <w:rFonts w:cstheme="minorHAnsi"/>
          <w:i/>
          <w:color w:val="1F497D" w:themeColor="text2"/>
          <w:sz w:val="20"/>
          <w:szCs w:val="20"/>
        </w:rPr>
        <w:lastRenderedPageBreak/>
        <w:t>Figura  15</w:t>
      </w:r>
      <w:r w:rsidRPr="00205BE6">
        <w:rPr>
          <w:rFonts w:cstheme="minorHAnsi"/>
          <w:i/>
          <w:color w:val="1F497D" w:themeColor="text2"/>
          <w:sz w:val="20"/>
          <w:szCs w:val="20"/>
        </w:rPr>
        <w:t xml:space="preserve">: Punctajul de </w:t>
      </w:r>
      <w:r>
        <w:rPr>
          <w:rFonts w:cstheme="minorHAnsi"/>
          <w:i/>
          <w:color w:val="1F497D" w:themeColor="text2"/>
          <w:sz w:val="20"/>
          <w:szCs w:val="20"/>
        </w:rPr>
        <w:t xml:space="preserve">evaluare a lecțiilor din clasa </w:t>
      </w:r>
      <w:r w:rsidRPr="00205BE6">
        <w:rPr>
          <w:rFonts w:cstheme="minorHAnsi"/>
          <w:i/>
          <w:color w:val="1F497D" w:themeColor="text2"/>
          <w:sz w:val="20"/>
          <w:szCs w:val="20"/>
        </w:rPr>
        <w:t>X</w:t>
      </w:r>
      <w:r>
        <w:rPr>
          <w:rFonts w:cstheme="minorHAnsi"/>
          <w:i/>
          <w:color w:val="1F497D" w:themeColor="text2"/>
          <w:sz w:val="20"/>
          <w:szCs w:val="20"/>
        </w:rPr>
        <w:t>II</w:t>
      </w:r>
      <w:r w:rsidRPr="00205BE6">
        <w:rPr>
          <w:rFonts w:cstheme="minorHAnsi"/>
          <w:i/>
          <w:color w:val="1F497D" w:themeColor="text2"/>
          <w:sz w:val="20"/>
          <w:szCs w:val="20"/>
        </w:rPr>
        <w:t>-a.</w:t>
      </w:r>
    </w:p>
    <w:p w:rsidR="0094067C" w:rsidRPr="00361F0A" w:rsidRDefault="00361F0A" w:rsidP="00361F0A">
      <w:pPr>
        <w:pStyle w:val="Titlu1"/>
        <w:rPr>
          <w:rFonts w:asciiTheme="minorHAnsi" w:hAnsiTheme="minorHAnsi" w:cstheme="minorHAnsi"/>
        </w:rPr>
      </w:pPr>
      <w:bookmarkStart w:id="21" w:name="_Toc497049332"/>
      <w:r w:rsidRPr="00361F0A">
        <w:rPr>
          <w:rFonts w:asciiTheme="minorHAnsi" w:hAnsiTheme="minorHAnsi" w:cstheme="minorHAnsi"/>
        </w:rPr>
        <w:t xml:space="preserve">V. </w:t>
      </w:r>
      <w:r w:rsidR="00B903CE" w:rsidRPr="00361F0A">
        <w:rPr>
          <w:rFonts w:asciiTheme="minorHAnsi" w:hAnsiTheme="minorHAnsi" w:cstheme="minorHAnsi"/>
        </w:rPr>
        <w:t>CONCLUZII</w:t>
      </w:r>
      <w:bookmarkEnd w:id="21"/>
    </w:p>
    <w:p w:rsidR="0094067C" w:rsidRDefault="0094067C" w:rsidP="0094067C">
      <w:pPr>
        <w:spacing w:after="0" w:line="240" w:lineRule="auto"/>
      </w:pPr>
    </w:p>
    <w:p w:rsidR="0094067C" w:rsidRDefault="0094067C" w:rsidP="0094067C">
      <w:pPr>
        <w:spacing w:after="0" w:line="240" w:lineRule="auto"/>
        <w:jc w:val="both"/>
      </w:pPr>
      <w:r w:rsidRPr="00C368EC">
        <w:rPr>
          <w:b/>
        </w:rPr>
        <w:t xml:space="preserve">Evaluarea constată că materialele VOCG sunt </w:t>
      </w:r>
      <w:r w:rsidR="00C368EC">
        <w:rPr>
          <w:b/>
        </w:rPr>
        <w:t>sensibile la dimensiunea egalității</w:t>
      </w:r>
      <w:r w:rsidRPr="00C368EC">
        <w:rPr>
          <w:b/>
        </w:rPr>
        <w:t xml:space="preserve"> de gen.</w:t>
      </w:r>
      <w:r w:rsidRPr="0094067C">
        <w:t xml:space="preserve"> Scorul mediu pentru relevanța de gen pentru toate materialele VOCG este 2,5 (din 4), iar scorul mediu pentru integrarea dimensiunii de</w:t>
      </w:r>
      <w:r w:rsidR="00C368EC">
        <w:t xml:space="preserve"> gen este 2,3 </w:t>
      </w:r>
      <w:r w:rsidRPr="0094067C">
        <w:t>diferența dintre cele două nu este atât de semnificativă. Trebuie remarcat faptul că evaluarea a fost făcută cu înțelegerea faptului că autorii VOCG au trebuit să echilibreze mai multe priorități, dat fiind faptul că pentru fiecare clasă</w:t>
      </w:r>
      <w:r w:rsidR="00C368EC">
        <w:t>,</w:t>
      </w:r>
      <w:r w:rsidRPr="0094067C">
        <w:t xml:space="preserve"> </w:t>
      </w:r>
      <w:r w:rsidR="00C368EC">
        <w:t xml:space="preserve">programul </w:t>
      </w:r>
      <w:r w:rsidRPr="0094067C">
        <w:t>curricula</w:t>
      </w:r>
      <w:r w:rsidR="00C368EC">
        <w:t>r</w:t>
      </w:r>
      <w:r w:rsidRPr="0094067C">
        <w:t xml:space="preserve"> a permis doar 8 lecții de orientare profesională și de consiliere în carieră. </w:t>
      </w:r>
    </w:p>
    <w:p w:rsidR="0094067C" w:rsidRDefault="0094067C" w:rsidP="0094067C">
      <w:pPr>
        <w:spacing w:after="0" w:line="240" w:lineRule="auto"/>
      </w:pPr>
    </w:p>
    <w:p w:rsidR="0094067C" w:rsidRPr="0094067C" w:rsidRDefault="00C368EC" w:rsidP="0094067C">
      <w:pPr>
        <w:spacing w:after="0" w:line="240" w:lineRule="auto"/>
      </w:pPr>
      <w:r w:rsidRPr="00C368EC">
        <w:rPr>
          <w:noProof/>
          <w:lang w:val="ru-RU" w:eastAsia="ru-RU"/>
        </w:rPr>
        <w:drawing>
          <wp:inline distT="0" distB="0" distL="0" distR="0">
            <wp:extent cx="3697138" cy="2173856"/>
            <wp:effectExtent l="19050" t="0" r="17612"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E563E8" w:rsidRPr="00C368EC" w:rsidRDefault="00C368EC" w:rsidP="0094067C">
      <w:pPr>
        <w:spacing w:after="0" w:line="240" w:lineRule="auto"/>
        <w:rPr>
          <w:i/>
          <w:color w:val="1F497D" w:themeColor="text2"/>
          <w:sz w:val="20"/>
          <w:szCs w:val="20"/>
        </w:rPr>
      </w:pPr>
      <w:r>
        <w:rPr>
          <w:i/>
          <w:color w:val="1F497D" w:themeColor="text2"/>
          <w:sz w:val="20"/>
          <w:szCs w:val="20"/>
        </w:rPr>
        <w:t>Figura 16: Punctajul general a tuturor materialelor VOCG</w:t>
      </w:r>
    </w:p>
    <w:p w:rsidR="00E563E8" w:rsidRPr="00E563E8" w:rsidRDefault="00E563E8" w:rsidP="0094067C">
      <w:pPr>
        <w:spacing w:after="0" w:line="240" w:lineRule="auto"/>
        <w:rPr>
          <w:sz w:val="20"/>
          <w:szCs w:val="20"/>
        </w:rPr>
      </w:pPr>
    </w:p>
    <w:p w:rsidR="00C368EC" w:rsidRDefault="00C368EC" w:rsidP="00C46D06">
      <w:pPr>
        <w:spacing w:after="0" w:line="240" w:lineRule="auto"/>
        <w:jc w:val="both"/>
      </w:pPr>
      <w:r>
        <w:rPr>
          <w:b/>
        </w:rPr>
        <w:t xml:space="preserve">Materialele VOCG constituie un model didactic pentru celelalte obiecte. </w:t>
      </w:r>
      <w:r>
        <w:t>Deoarece acestea au</w:t>
      </w:r>
      <w:r w:rsidRPr="0094067C">
        <w:t xml:space="preserve"> o abordare foarte individuală și îi ajută pe studenți să-și evalueze critic deciziile privind cariera. </w:t>
      </w:r>
      <w:r>
        <w:t xml:space="preserve">Elevii sunt încurajați să reflecte asupra propriilor interese și capacități (nu să urmeze anumite </w:t>
      </w:r>
      <w:proofErr w:type="spellStart"/>
      <w:r w:rsidR="00C46D06">
        <w:t>tipaje</w:t>
      </w:r>
      <w:proofErr w:type="spellEnd"/>
      <w:r>
        <w:t xml:space="preserve">), </w:t>
      </w:r>
      <w:r w:rsidR="00C46D06">
        <w:t xml:space="preserve">elevii sunt împuterniciți să ia decizii și s-ași le asume. </w:t>
      </w:r>
      <w:r w:rsidRPr="0094067C">
        <w:t>Această abordare va ajuta atât profesorii, cât și elevii să conteste orice roluri și stereotipuri tradiționale de gen.</w:t>
      </w:r>
    </w:p>
    <w:p w:rsidR="00E563E8" w:rsidRPr="00E563E8" w:rsidRDefault="00E563E8" w:rsidP="00C46D06">
      <w:pPr>
        <w:spacing w:after="0" w:line="240" w:lineRule="auto"/>
        <w:rPr>
          <w:sz w:val="20"/>
          <w:szCs w:val="20"/>
        </w:rPr>
      </w:pPr>
    </w:p>
    <w:p w:rsidR="00E563E8" w:rsidRPr="00CD2754" w:rsidRDefault="00C46D06" w:rsidP="00C46D06">
      <w:pPr>
        <w:spacing w:after="0" w:line="240" w:lineRule="auto"/>
        <w:jc w:val="both"/>
      </w:pPr>
      <w:r w:rsidRPr="00CD2754">
        <w:rPr>
          <w:b/>
        </w:rPr>
        <w:t>Materialele VOCG au fost dezvoltate pe baza aceleiași abordări generale, prin urmare variația generală a punctajului de gen nu este semnificativă.</w:t>
      </w:r>
      <w:r w:rsidRPr="00CD2754">
        <w:t xml:space="preserve"> De regulă, materialele VOCG utilizează imagini sensibile la gen, limbaj sensibil la gen (cu câteva excepții) și o reprezentare destul de egală a bărbaților / băieților și a femeilor / fetelor ca </w:t>
      </w:r>
      <w:r w:rsidR="00555621" w:rsidRPr="00CD2754">
        <w:t>roluri de urmat în viața profesională.</w:t>
      </w:r>
      <w:r w:rsidRPr="00CD2754">
        <w:t xml:space="preserve"> Pentru unele subiecte care au o importanță deosebită de gen, materialele VOCG evidențiază importanța </w:t>
      </w:r>
      <w:r w:rsidR="00555621" w:rsidRPr="00CD2754">
        <w:t>acestui aspect ținând cont de limitările menționate mai sus</w:t>
      </w:r>
      <w:r w:rsidRPr="00CD2754">
        <w:t>.</w:t>
      </w:r>
    </w:p>
    <w:p w:rsidR="00E563E8" w:rsidRPr="00E563E8" w:rsidRDefault="00C46D06" w:rsidP="00E563E8">
      <w:pPr>
        <w:rPr>
          <w:sz w:val="20"/>
          <w:szCs w:val="20"/>
        </w:rPr>
      </w:pPr>
      <w:r>
        <w:rPr>
          <w:noProof/>
          <w:sz w:val="20"/>
          <w:szCs w:val="20"/>
          <w:lang w:val="ru-RU" w:eastAsia="ru-RU"/>
        </w:rPr>
        <w:drawing>
          <wp:anchor distT="0" distB="0" distL="114300" distR="114300" simplePos="0" relativeHeight="251678720" behindDoc="1" locked="0" layoutInCell="1" allowOverlap="1">
            <wp:simplePos x="0" y="0"/>
            <wp:positionH relativeFrom="column">
              <wp:posOffset>15875</wp:posOffset>
            </wp:positionH>
            <wp:positionV relativeFrom="paragraph">
              <wp:posOffset>182880</wp:posOffset>
            </wp:positionV>
            <wp:extent cx="5813425" cy="2294255"/>
            <wp:effectExtent l="19050" t="0" r="15875" b="0"/>
            <wp:wrapTight wrapText="bothSides">
              <wp:wrapPolygon edited="0">
                <wp:start x="-71" y="0"/>
                <wp:lineTo x="-71" y="21522"/>
                <wp:lineTo x="21659" y="21522"/>
                <wp:lineTo x="21659" y="0"/>
                <wp:lineTo x="-71" y="0"/>
              </wp:wrapPolygon>
            </wp:wrapTight>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p>
    <w:p w:rsidR="00C46D06" w:rsidRDefault="00C46D06" w:rsidP="00C46D06">
      <w:pPr>
        <w:spacing w:after="0" w:line="240" w:lineRule="auto"/>
        <w:rPr>
          <w:i/>
          <w:color w:val="1F497D" w:themeColor="text2"/>
          <w:sz w:val="20"/>
          <w:szCs w:val="20"/>
        </w:rPr>
      </w:pPr>
      <w:r>
        <w:rPr>
          <w:i/>
          <w:color w:val="1F497D" w:themeColor="text2"/>
          <w:sz w:val="20"/>
          <w:szCs w:val="20"/>
        </w:rPr>
        <w:lastRenderedPageBreak/>
        <w:t>Figura 17: Punctajul general a tuturor materialelor VOCG pentru fiecare clasă</w:t>
      </w:r>
    </w:p>
    <w:p w:rsidR="00C46D06" w:rsidRPr="00555621" w:rsidRDefault="00555621" w:rsidP="00555621">
      <w:pPr>
        <w:pStyle w:val="Titlu1"/>
        <w:rPr>
          <w:rFonts w:asciiTheme="minorHAnsi" w:hAnsiTheme="minorHAnsi" w:cstheme="minorHAnsi"/>
        </w:rPr>
      </w:pPr>
      <w:bookmarkStart w:id="22" w:name="_Toc497049333"/>
      <w:r w:rsidRPr="00555621">
        <w:rPr>
          <w:rFonts w:asciiTheme="minorHAnsi" w:hAnsiTheme="minorHAnsi" w:cstheme="minorHAnsi"/>
        </w:rPr>
        <w:t>VI. RECOMANDĂRI</w:t>
      </w:r>
      <w:bookmarkEnd w:id="22"/>
      <w:r w:rsidRPr="00555621">
        <w:rPr>
          <w:rFonts w:asciiTheme="minorHAnsi" w:hAnsiTheme="minorHAnsi" w:cstheme="minorHAnsi"/>
        </w:rPr>
        <w:t xml:space="preserve"> </w:t>
      </w:r>
    </w:p>
    <w:p w:rsidR="00C46D06" w:rsidRDefault="00C46D06" w:rsidP="00C46D06">
      <w:pPr>
        <w:spacing w:after="0" w:line="240" w:lineRule="auto"/>
      </w:pPr>
    </w:p>
    <w:p w:rsidR="00330A1C" w:rsidRDefault="00330A1C" w:rsidP="00330A1C">
      <w:pPr>
        <w:spacing w:after="0" w:line="240" w:lineRule="auto"/>
        <w:jc w:val="both"/>
      </w:pPr>
      <w:r w:rsidRPr="00CD2754">
        <w:rPr>
          <w:b/>
        </w:rPr>
        <w:t>Autorii VOCG au trebuit să echilibreze mai multe priorități.</w:t>
      </w:r>
      <w:r w:rsidRPr="00555621">
        <w:t xml:space="preserve"> În </w:t>
      </w:r>
      <w:r>
        <w:t>procesul de evaluare</w:t>
      </w:r>
      <w:r w:rsidRPr="00555621">
        <w:t xml:space="preserve"> și</w:t>
      </w:r>
      <w:r>
        <w:t xml:space="preserve"> formulare a recomandărilor cu privire la</w:t>
      </w:r>
      <w:r w:rsidRPr="00555621">
        <w:t xml:space="preserve"> modul de consolidare a perspectivei egalității de gen a materialelor VOCG, trebuie să fim</w:t>
      </w:r>
      <w:r>
        <w:t xml:space="preserve"> conștienți de următoarele aspecte</w:t>
      </w:r>
      <w:r w:rsidRPr="00555621">
        <w:t xml:space="preserve">: (i) având în vedere provocările orientării vocaționale și consilierea în carieră, </w:t>
      </w:r>
      <w:r>
        <w:t>o abordare curriculară cu opt lecții pe an de studiu pare a fi</w:t>
      </w:r>
      <w:r w:rsidRPr="00555621">
        <w:t xml:space="preserve"> insuficientă, (ii) având în vedere multiplele subiecte relevante pentru orientarea vocațională și consilierea în carieră, autorii VOCG au trebuit să </w:t>
      </w:r>
      <w:proofErr w:type="spellStart"/>
      <w:r w:rsidRPr="00555621">
        <w:t>prioritizeze</w:t>
      </w:r>
      <w:proofErr w:type="spellEnd"/>
      <w:r w:rsidRPr="00555621">
        <w:t xml:space="preserve"> informațiile, instrumentele și abordările util</w:t>
      </w:r>
      <w:r>
        <w:t xml:space="preserve">izate în cadrul fiecărei lecții, acest fapt de multe ori a restricționat autorii să introducă mai multe elemente specifice ce relevante principiului egalității de gen. </w:t>
      </w:r>
    </w:p>
    <w:p w:rsidR="00330A1C" w:rsidRDefault="00330A1C" w:rsidP="00555621">
      <w:pPr>
        <w:spacing w:after="0" w:line="240" w:lineRule="auto"/>
        <w:jc w:val="both"/>
        <w:rPr>
          <w:b/>
        </w:rPr>
      </w:pPr>
    </w:p>
    <w:p w:rsidR="00CD2754" w:rsidRPr="002875BE" w:rsidRDefault="00CD2754" w:rsidP="00555621">
      <w:pPr>
        <w:spacing w:after="0" w:line="240" w:lineRule="auto"/>
        <w:jc w:val="both"/>
      </w:pPr>
      <w:r>
        <w:rPr>
          <w:b/>
        </w:rPr>
        <w:t xml:space="preserve">Dezvoltarea personală și proiectarea carierei trebuie să fie introdus ca un subiect de studiu în curricular școlară. </w:t>
      </w:r>
      <w:r w:rsidR="002875BE">
        <w:t xml:space="preserve">Atât timp cât există un consens în rândul autorităților, angajatorilor și a angajaților cu privire la necesitatea ajustării sistemului de educație la necesitățile pieței muncii, nu este clar de ce acest subiect nu i se acordă o proeminență mult mai semnificativă în cadrul </w:t>
      </w:r>
      <w:proofErr w:type="spellStart"/>
      <w:r w:rsidR="002875BE">
        <w:t>curriculei</w:t>
      </w:r>
      <w:proofErr w:type="spellEnd"/>
      <w:r w:rsidR="002875BE">
        <w:t xml:space="preserve"> școlare. Recomandarea principală din partea acestei analize este că acest obiect trebuie să fie introdus în </w:t>
      </w:r>
      <w:proofErr w:type="spellStart"/>
      <w:r w:rsidR="002875BE">
        <w:t>curricula</w:t>
      </w:r>
      <w:proofErr w:type="spellEnd"/>
      <w:r w:rsidR="002875BE">
        <w:t xml:space="preserve"> școală ca un obiect de studiu cu </w:t>
      </w:r>
      <w:r w:rsidR="002875BE">
        <w:rPr>
          <w:i/>
        </w:rPr>
        <w:t xml:space="preserve">drepturi depline </w:t>
      </w:r>
      <w:r w:rsidR="002875BE">
        <w:t xml:space="preserve">cu un număr </w:t>
      </w:r>
      <w:r w:rsidR="00330A1C">
        <w:t xml:space="preserve">de 36 de ore de studiu. </w:t>
      </w:r>
    </w:p>
    <w:p w:rsidR="00CD2754" w:rsidRDefault="00CD2754" w:rsidP="00555621">
      <w:pPr>
        <w:spacing w:after="0" w:line="240" w:lineRule="auto"/>
        <w:jc w:val="both"/>
        <w:rPr>
          <w:b/>
        </w:rPr>
      </w:pPr>
    </w:p>
    <w:p w:rsidR="00555621" w:rsidRDefault="00330A1C" w:rsidP="00555621">
      <w:pPr>
        <w:spacing w:after="0" w:line="240" w:lineRule="auto"/>
        <w:jc w:val="both"/>
      </w:pPr>
      <w:r w:rsidRPr="00330A1C">
        <w:rPr>
          <w:b/>
        </w:rPr>
        <w:t>Încurajarea elevilor să reflecte critic asupra opțiunilor de carieră poate fi consolidată pentru a analiza critic rolurile tradiționale de gen în selectarea carierei.</w:t>
      </w:r>
      <w:r>
        <w:t xml:space="preserve"> </w:t>
      </w:r>
      <w:r w:rsidR="00555621" w:rsidRPr="00555621">
        <w:t xml:space="preserve"> Materialele VOCG îi încurajează  elevi să reflecteze și să gândească critic. Această abordare poate fi extinsă pentru a ajuta studenții să facă provocări și să reflecte critic asupra percepțiilor existente asupra rolului bărbaților și femeilor în arena privată și cea de lucru.</w:t>
      </w:r>
    </w:p>
    <w:p w:rsidR="00555621" w:rsidRDefault="00555621" w:rsidP="00555621">
      <w:pPr>
        <w:spacing w:after="0" w:line="240" w:lineRule="auto"/>
        <w:jc w:val="both"/>
      </w:pPr>
    </w:p>
    <w:p w:rsidR="00555621" w:rsidRDefault="00330A1C" w:rsidP="00555621">
      <w:pPr>
        <w:spacing w:after="0" w:line="240" w:lineRule="auto"/>
        <w:jc w:val="both"/>
      </w:pPr>
      <w:r>
        <w:rPr>
          <w:b/>
        </w:rPr>
        <w:t>M</w:t>
      </w:r>
      <w:r w:rsidR="00555621" w:rsidRPr="00330A1C">
        <w:rPr>
          <w:b/>
        </w:rPr>
        <w:t xml:space="preserve">odelele de </w:t>
      </w:r>
      <w:r>
        <w:rPr>
          <w:b/>
        </w:rPr>
        <w:t xml:space="preserve">succes </w:t>
      </w:r>
      <w:r w:rsidR="00555621" w:rsidRPr="00330A1C">
        <w:rPr>
          <w:b/>
        </w:rPr>
        <w:t>ș</w:t>
      </w:r>
      <w:r>
        <w:rPr>
          <w:b/>
        </w:rPr>
        <w:t xml:space="preserve">i persoanele resursă pot fi utilizate mult mai strategic pentru a transmite un mesaj consistent cu privire la oportunitățile egale pentru femei și bărați pe piața muncii </w:t>
      </w:r>
      <w:r w:rsidR="00555621" w:rsidRPr="00330A1C">
        <w:rPr>
          <w:b/>
        </w:rPr>
        <w:t>.</w:t>
      </w:r>
      <w:r w:rsidR="00555621" w:rsidRPr="00555621">
        <w:t xml:space="preserve"> În mai multe cazuri, elevii sunt rugați să intervieveze sau să studieze o persoană de resurse din comunitate sau din familie. Profesorii pot încuraja elevii să ia legătura cu persoane (bărbați sau femei) care pot contesta rolurile tradiționale și stereotipurile.</w:t>
      </w:r>
    </w:p>
    <w:p w:rsidR="00555621" w:rsidRDefault="00555621" w:rsidP="00555621">
      <w:pPr>
        <w:spacing w:after="0" w:line="240" w:lineRule="auto"/>
        <w:jc w:val="both"/>
      </w:pPr>
    </w:p>
    <w:p w:rsidR="00330A1C" w:rsidRDefault="00330A1C" w:rsidP="00330A1C">
      <w:pPr>
        <w:spacing w:after="0" w:line="240" w:lineRule="auto"/>
        <w:jc w:val="both"/>
      </w:pPr>
      <w:r w:rsidRPr="00330A1C">
        <w:rPr>
          <w:b/>
        </w:rPr>
        <w:t>Utilizați pe deplin limba</w:t>
      </w:r>
      <w:r w:rsidR="002A1DDF">
        <w:rPr>
          <w:b/>
        </w:rPr>
        <w:t>jul sensibil de gen</w:t>
      </w:r>
      <w:r w:rsidRPr="00330A1C">
        <w:rPr>
          <w:b/>
        </w:rPr>
        <w:t>.</w:t>
      </w:r>
      <w:r w:rsidRPr="00555621">
        <w:t xml:space="preserve"> Materialele VOCG au avut </w:t>
      </w:r>
      <w:r w:rsidR="002A1DDF">
        <w:t xml:space="preserve">uneori </w:t>
      </w:r>
      <w:r w:rsidRPr="00555621">
        <w:t xml:space="preserve">o abordare oarecum inconsistentă în utilizarea versiunii feminine și masculine a profesiilor. Propunerea este să se utilizeze o regulă generală </w:t>
      </w:r>
      <w:r w:rsidR="002A1DDF">
        <w:t xml:space="preserve">unică </w:t>
      </w:r>
      <w:r w:rsidRPr="00555621">
        <w:t>în care toate profesiile să fie utilizate în ambele forme pentru a semnala în mod clar că toate locurile de muncă sunt accesibile atât pentru băieți, cât și pentru fete.</w:t>
      </w:r>
    </w:p>
    <w:p w:rsidR="00330A1C" w:rsidRDefault="00330A1C" w:rsidP="00555621">
      <w:pPr>
        <w:spacing w:after="0" w:line="240" w:lineRule="auto"/>
        <w:jc w:val="both"/>
      </w:pPr>
    </w:p>
    <w:p w:rsidR="00555621" w:rsidRDefault="00555621" w:rsidP="00555621">
      <w:pPr>
        <w:spacing w:after="0" w:line="240" w:lineRule="auto"/>
        <w:jc w:val="both"/>
      </w:pPr>
      <w:r w:rsidRPr="002A1DDF">
        <w:rPr>
          <w:b/>
        </w:rPr>
        <w:t>Pentru subiectele cele mai relevante din punct de vedere al genului, se recomandă abordarea problemei inegalității de gen.</w:t>
      </w:r>
      <w:r w:rsidRPr="00555621">
        <w:t xml:space="preserve"> Dacă subiectele lecțiilor se referă la parcursul de carieră intenționat, munca la domiciliu, relațiile de lucru, mass-media, negocierea salariilor, drepturile muncii etc., materialele lecțiilor ar trebui să abordeze inegalitățile de gen relevante.</w:t>
      </w:r>
    </w:p>
    <w:p w:rsidR="00555621" w:rsidRDefault="00555621" w:rsidP="00555621">
      <w:pPr>
        <w:spacing w:after="0" w:line="240" w:lineRule="auto"/>
        <w:jc w:val="both"/>
      </w:pPr>
    </w:p>
    <w:p w:rsidR="00555621" w:rsidRPr="00555621" w:rsidRDefault="002A1DDF" w:rsidP="00555621">
      <w:pPr>
        <w:spacing w:after="0" w:line="240" w:lineRule="auto"/>
        <w:jc w:val="both"/>
      </w:pPr>
      <w:r>
        <w:rPr>
          <w:b/>
        </w:rPr>
        <w:t xml:space="preserve">Programul trebuie să se asigure că </w:t>
      </w:r>
      <w:r w:rsidR="00555621" w:rsidRPr="002A1DDF">
        <w:rPr>
          <w:b/>
        </w:rPr>
        <w:t>profesori</w:t>
      </w:r>
      <w:r>
        <w:rPr>
          <w:b/>
        </w:rPr>
        <w:t>i să devină mai sensibili la gen</w:t>
      </w:r>
      <w:r w:rsidR="00555621" w:rsidRPr="002A1DDF">
        <w:rPr>
          <w:b/>
        </w:rPr>
        <w:t>.</w:t>
      </w:r>
      <w:r w:rsidR="00555621" w:rsidRPr="00555621">
        <w:t xml:space="preserve"> Atât prin materialele de sprijin, cât și prin formarea cadrelor didactice pot dezvolta abilitățile necesare și sensibilizarea față de gen pentru a organiza module de orientare profesională și de consiliere în carieră care sunt sensibile la gen.</w:t>
      </w:r>
    </w:p>
    <w:p w:rsidR="00D72328" w:rsidRDefault="00D72328" w:rsidP="00E563E8">
      <w:pPr>
        <w:rPr>
          <w:sz w:val="20"/>
          <w:szCs w:val="20"/>
        </w:rPr>
      </w:pPr>
    </w:p>
    <w:p w:rsidR="003B3533" w:rsidRDefault="003B3533" w:rsidP="00E563E8">
      <w:pPr>
        <w:rPr>
          <w:sz w:val="20"/>
          <w:szCs w:val="20"/>
        </w:rPr>
      </w:pPr>
    </w:p>
    <w:p w:rsidR="00555621" w:rsidRDefault="00555621" w:rsidP="00E563E8">
      <w:pPr>
        <w:rPr>
          <w:sz w:val="20"/>
          <w:szCs w:val="20"/>
        </w:rPr>
      </w:pPr>
    </w:p>
    <w:p w:rsidR="00555621" w:rsidRPr="00555621" w:rsidRDefault="00555621" w:rsidP="00555621">
      <w:pPr>
        <w:pStyle w:val="Titlu1"/>
        <w:rPr>
          <w:rFonts w:asciiTheme="minorHAnsi" w:hAnsiTheme="minorHAnsi" w:cstheme="minorHAnsi"/>
        </w:rPr>
      </w:pPr>
      <w:bookmarkStart w:id="23" w:name="_Toc497049334"/>
      <w:r w:rsidRPr="00555621">
        <w:rPr>
          <w:rFonts w:asciiTheme="minorHAnsi" w:hAnsiTheme="minorHAnsi" w:cstheme="minorHAnsi"/>
        </w:rPr>
        <w:lastRenderedPageBreak/>
        <w:t>VI. BIBLIOGRAFIE</w:t>
      </w:r>
      <w:bookmarkEnd w:id="23"/>
      <w:r w:rsidRPr="00555621">
        <w:rPr>
          <w:rFonts w:asciiTheme="minorHAnsi" w:hAnsiTheme="minorHAnsi" w:cstheme="minorHAnsi"/>
        </w:rPr>
        <w:t xml:space="preserve"> </w:t>
      </w:r>
    </w:p>
    <w:p w:rsidR="00555621" w:rsidRDefault="00555621" w:rsidP="00E563E8">
      <w:pPr>
        <w:rPr>
          <w:sz w:val="20"/>
          <w:szCs w:val="20"/>
        </w:rPr>
      </w:pPr>
    </w:p>
    <w:p w:rsidR="002A1DDF" w:rsidRDefault="002A1DDF" w:rsidP="00E563E8">
      <w:pPr>
        <w:rPr>
          <w:sz w:val="20"/>
          <w:szCs w:val="20"/>
        </w:rPr>
      </w:pPr>
      <w:r>
        <w:rPr>
          <w:sz w:val="20"/>
          <w:szCs w:val="20"/>
        </w:rPr>
        <w:t>1. Legea n</w:t>
      </w:r>
      <w:r w:rsidRPr="002A1DDF">
        <w:rPr>
          <w:sz w:val="20"/>
          <w:szCs w:val="20"/>
        </w:rPr>
        <w:t xml:space="preserve">r. 5 din 09.02.2006 cu privire la asigurarea </w:t>
      </w:r>
      <w:proofErr w:type="spellStart"/>
      <w:r w:rsidRPr="002A1DDF">
        <w:rPr>
          <w:sz w:val="20"/>
          <w:szCs w:val="20"/>
        </w:rPr>
        <w:t>egalităţii</w:t>
      </w:r>
      <w:proofErr w:type="spellEnd"/>
      <w:r w:rsidRPr="002A1DDF">
        <w:rPr>
          <w:sz w:val="20"/>
          <w:szCs w:val="20"/>
        </w:rPr>
        <w:t xml:space="preserve"> de </w:t>
      </w:r>
      <w:proofErr w:type="spellStart"/>
      <w:r w:rsidRPr="002A1DDF">
        <w:rPr>
          <w:sz w:val="20"/>
          <w:szCs w:val="20"/>
        </w:rPr>
        <w:t>şanse</w:t>
      </w:r>
      <w:proofErr w:type="spellEnd"/>
      <w:r w:rsidRPr="002A1DDF">
        <w:rPr>
          <w:sz w:val="20"/>
          <w:szCs w:val="20"/>
        </w:rPr>
        <w:t xml:space="preserve"> între femei </w:t>
      </w:r>
      <w:proofErr w:type="spellStart"/>
      <w:r w:rsidRPr="002A1DDF">
        <w:rPr>
          <w:sz w:val="20"/>
          <w:szCs w:val="20"/>
        </w:rPr>
        <w:t>şi</w:t>
      </w:r>
      <w:proofErr w:type="spellEnd"/>
      <w:r w:rsidRPr="002A1DDF">
        <w:rPr>
          <w:sz w:val="20"/>
          <w:szCs w:val="20"/>
        </w:rPr>
        <w:t xml:space="preserve"> </w:t>
      </w:r>
      <w:proofErr w:type="spellStart"/>
      <w:r w:rsidRPr="002A1DDF">
        <w:rPr>
          <w:sz w:val="20"/>
          <w:szCs w:val="20"/>
        </w:rPr>
        <w:t>bărbaţi</w:t>
      </w:r>
      <w:proofErr w:type="spellEnd"/>
    </w:p>
    <w:p w:rsidR="00555621" w:rsidRDefault="002A1DDF" w:rsidP="00E563E8">
      <w:r>
        <w:t>2. Legea nr</w:t>
      </w:r>
      <w:r w:rsidRPr="002A1DDF">
        <w:t xml:space="preserve">. 121 din 25.05.2012 cu privire la asigurarea </w:t>
      </w:r>
      <w:proofErr w:type="spellStart"/>
      <w:r w:rsidRPr="002A1DDF">
        <w:t>egalităţii</w:t>
      </w:r>
      <w:proofErr w:type="spellEnd"/>
    </w:p>
    <w:p w:rsidR="002A1DDF" w:rsidRDefault="002A1DDF" w:rsidP="00E563E8">
      <w:r>
        <w:t>3. Strategia</w:t>
      </w:r>
      <w:r w:rsidRPr="002A1DDF">
        <w:t xml:space="preserve"> pentru asigurarea egalității între femei și bărbați în Republica Moldova pe anii 2017-2021</w:t>
      </w:r>
    </w:p>
    <w:p w:rsidR="002A1DDF" w:rsidRDefault="002A1DDF" w:rsidP="00E563E8">
      <w:r>
        <w:t xml:space="preserve">4. </w:t>
      </w:r>
      <w:r w:rsidRPr="002A1DDF">
        <w:t>Notă analitică. Trei soluții pentru egalitatea de gen în educație</w:t>
      </w:r>
      <w:r>
        <w:t>, CPD, 2016</w:t>
      </w:r>
    </w:p>
    <w:p w:rsidR="002A1DDF" w:rsidRDefault="002A1DDF" w:rsidP="00E563E8">
      <w:r>
        <w:t xml:space="preserve">5. </w:t>
      </w:r>
      <w:proofErr w:type="spellStart"/>
      <w:r w:rsidRPr="002A1DDF">
        <w:t>Tranziţia</w:t>
      </w:r>
      <w:proofErr w:type="spellEnd"/>
      <w:r w:rsidRPr="002A1DDF">
        <w:t xml:space="preserve"> de la </w:t>
      </w:r>
      <w:proofErr w:type="spellStart"/>
      <w:r w:rsidRPr="002A1DDF">
        <w:t>şcoală</w:t>
      </w:r>
      <w:proofErr w:type="spellEnd"/>
      <w:r w:rsidRPr="002A1DDF">
        <w:t xml:space="preserve"> la muncă</w:t>
      </w:r>
      <w:r>
        <w:t>, BNS, 2014</w:t>
      </w:r>
    </w:p>
    <w:p w:rsidR="002A1DDF" w:rsidRDefault="002A1DDF" w:rsidP="00E563E8">
      <w:r>
        <w:t xml:space="preserve">6. </w:t>
      </w:r>
      <w:r w:rsidRPr="002A1DDF">
        <w:t xml:space="preserve">De la </w:t>
      </w:r>
      <w:proofErr w:type="spellStart"/>
      <w:r w:rsidRPr="002A1DDF">
        <w:t>aspiraţii</w:t>
      </w:r>
      <w:proofErr w:type="spellEnd"/>
      <w:r w:rsidRPr="002A1DDF">
        <w:t xml:space="preserve"> la </w:t>
      </w:r>
      <w:proofErr w:type="spellStart"/>
      <w:r w:rsidRPr="002A1DDF">
        <w:t>ocupaţii</w:t>
      </w:r>
      <w:proofErr w:type="spellEnd"/>
      <w:r w:rsidRPr="002A1DDF">
        <w:t xml:space="preserve"> : rolul </w:t>
      </w:r>
      <w:proofErr w:type="spellStart"/>
      <w:r w:rsidRPr="002A1DDF">
        <w:t>informaţiei</w:t>
      </w:r>
      <w:proofErr w:type="spellEnd"/>
      <w:r w:rsidRPr="002A1DDF">
        <w:t xml:space="preserve"> în deciziile privind </w:t>
      </w:r>
      <w:proofErr w:type="spellStart"/>
      <w:r w:rsidRPr="002A1DDF">
        <w:t>educaţia</w:t>
      </w:r>
      <w:proofErr w:type="spellEnd"/>
      <w:r w:rsidRPr="002A1DDF">
        <w:t xml:space="preserve"> si </w:t>
      </w:r>
      <w:r w:rsidR="003B3533" w:rsidRPr="002A1DDF">
        <w:t>piața</w:t>
      </w:r>
      <w:r w:rsidRPr="002A1DDF">
        <w:t xml:space="preserve"> muncii în Moldova</w:t>
      </w:r>
      <w:r w:rsidR="003B3533">
        <w:t xml:space="preserve">, Banca Mondială, 2016 </w:t>
      </w:r>
    </w:p>
    <w:p w:rsidR="00B84BE1" w:rsidRDefault="00B84BE1" w:rsidP="00E563E8">
      <w:r>
        <w:t xml:space="preserve">7. </w:t>
      </w:r>
      <w:r w:rsidRPr="00B84BE1">
        <w:t>Studiul IMAGES ”Bărbații și Egalitatea de Gen în Republica Moldova”</w:t>
      </w:r>
      <w:r>
        <w:t>, C</w:t>
      </w:r>
      <w:r w:rsidR="00DA676C">
        <w:t>entrul de Drept al Femeilor, 2016</w:t>
      </w:r>
    </w:p>
    <w:p w:rsidR="00555621" w:rsidRDefault="00555621" w:rsidP="00E563E8">
      <w:pPr>
        <w:rPr>
          <w:sz w:val="20"/>
          <w:szCs w:val="20"/>
        </w:rPr>
      </w:pPr>
    </w:p>
    <w:p w:rsidR="00555621" w:rsidRDefault="00555621" w:rsidP="00E563E8">
      <w:pPr>
        <w:rPr>
          <w:sz w:val="20"/>
          <w:szCs w:val="20"/>
        </w:rPr>
      </w:pPr>
    </w:p>
    <w:p w:rsidR="00555621" w:rsidRPr="00E563E8" w:rsidRDefault="00555621" w:rsidP="00E563E8">
      <w:pPr>
        <w:rPr>
          <w:sz w:val="20"/>
          <w:szCs w:val="20"/>
        </w:rPr>
      </w:pPr>
    </w:p>
    <w:sectPr w:rsidR="00555621" w:rsidRPr="00E563E8" w:rsidSect="00CD2754">
      <w:footerReference w:type="default" r:id="rId32"/>
      <w:headerReference w:type="first" r:id="rId33"/>
      <w:pgSz w:w="11906" w:h="16838"/>
      <w:pgMar w:top="1417" w:right="1417" w:bottom="1417" w:left="1417" w:header="708"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37EA" w:rsidRDefault="008A37EA" w:rsidP="00007F44">
      <w:pPr>
        <w:spacing w:after="0" w:line="240" w:lineRule="auto"/>
      </w:pPr>
      <w:r>
        <w:separator/>
      </w:r>
    </w:p>
  </w:endnote>
  <w:endnote w:type="continuationSeparator" w:id="0">
    <w:p w:rsidR="008A37EA" w:rsidRDefault="008A37EA" w:rsidP="00007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1146502"/>
      <w:docPartObj>
        <w:docPartGallery w:val="Page Numbers (Bottom of Page)"/>
        <w:docPartUnique/>
      </w:docPartObj>
    </w:sdtPr>
    <w:sdtEndPr/>
    <w:sdtContent>
      <w:p w:rsidR="003B3533" w:rsidRDefault="008A37EA">
        <w:pPr>
          <w:pStyle w:val="Subsol"/>
          <w:jc w:val="center"/>
        </w:pPr>
        <w:r>
          <w:fldChar w:fldCharType="begin"/>
        </w:r>
        <w:r>
          <w:instrText xml:space="preserve"> PAGE   \* MERGEFORMAT </w:instrText>
        </w:r>
        <w:r>
          <w:fldChar w:fldCharType="separate"/>
        </w:r>
        <w:r w:rsidR="00122B8D">
          <w:rPr>
            <w:noProof/>
          </w:rPr>
          <w:t>16</w:t>
        </w:r>
        <w:r>
          <w:rPr>
            <w:noProof/>
          </w:rPr>
          <w:fldChar w:fldCharType="end"/>
        </w:r>
      </w:p>
    </w:sdtContent>
  </w:sdt>
  <w:p w:rsidR="003B3533" w:rsidRDefault="003B3533">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37EA" w:rsidRDefault="008A37EA" w:rsidP="00007F44">
      <w:pPr>
        <w:spacing w:after="0" w:line="240" w:lineRule="auto"/>
      </w:pPr>
      <w:r>
        <w:separator/>
      </w:r>
    </w:p>
  </w:footnote>
  <w:footnote w:type="continuationSeparator" w:id="0">
    <w:p w:rsidR="008A37EA" w:rsidRDefault="008A37EA" w:rsidP="00007F44">
      <w:pPr>
        <w:spacing w:after="0" w:line="240" w:lineRule="auto"/>
      </w:pPr>
      <w:r>
        <w:continuationSeparator/>
      </w:r>
    </w:p>
  </w:footnote>
  <w:footnote w:id="1">
    <w:p w:rsidR="003B3533" w:rsidRDefault="003B3533">
      <w:pPr>
        <w:pStyle w:val="Textnotdesubsol"/>
      </w:pPr>
      <w:r>
        <w:rPr>
          <w:rStyle w:val="Referinnotdesubsol"/>
        </w:rPr>
        <w:footnoteRef/>
      </w:r>
      <w:r>
        <w:t xml:space="preserve"> Tranziția de la școală la muncă, BNS, 2014</w:t>
      </w:r>
    </w:p>
  </w:footnote>
  <w:footnote w:id="2">
    <w:p w:rsidR="003B3533" w:rsidRDefault="003B3533">
      <w:pPr>
        <w:pStyle w:val="Textnotdesubsol"/>
      </w:pPr>
      <w:r>
        <w:rPr>
          <w:rStyle w:val="Referinnotdesubsol"/>
        </w:rPr>
        <w:footnoteRef/>
      </w:r>
      <w:r>
        <w:t xml:space="preserve"> </w:t>
      </w:r>
      <w:r w:rsidRPr="00AE39EC">
        <w:t>De la aspiraţii la ocupaţii : rolul informaţiei</w:t>
      </w:r>
      <w:r>
        <w:t xml:space="preserve"> în deciziile privind educaţia și piaț</w:t>
      </w:r>
      <w:r w:rsidRPr="00AE39EC">
        <w:t>a muncii în Moldova</w:t>
      </w:r>
    </w:p>
  </w:footnote>
  <w:footnote w:id="3">
    <w:p w:rsidR="003B3533" w:rsidRDefault="003B3533">
      <w:pPr>
        <w:pStyle w:val="Textnotdesubsol"/>
      </w:pPr>
      <w:r>
        <w:rPr>
          <w:rStyle w:val="Referinnotdesubsol"/>
        </w:rPr>
        <w:footnoteRef/>
      </w:r>
      <w:r>
        <w:t xml:space="preserve"> </w:t>
      </w:r>
      <w:hyperlink r:id="rId1" w:history="1">
        <w:r w:rsidRPr="000A7D90">
          <w:rPr>
            <w:rStyle w:val="Hyperlink"/>
          </w:rPr>
          <w:t>http://egalitate.md/decisions-opinions/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8DA" w:rsidRDefault="00BB08DA" w:rsidP="00BB08DA">
    <w:pPr>
      <w:pStyle w:val="Antet"/>
    </w:pPr>
    <w:bookmarkStart w:id="24" w:name="_Hlk507487885"/>
    <w:bookmarkStart w:id="25" w:name="_Hlk507487886"/>
    <w:bookmarkStart w:id="26" w:name="_Hlk507487980"/>
    <w:bookmarkStart w:id="27" w:name="_Hlk507487981"/>
    <w:bookmarkStart w:id="28" w:name="_Hlk507488287"/>
    <w:bookmarkStart w:id="29" w:name="_Hlk507488288"/>
    <w:bookmarkStart w:id="30" w:name="_Hlk507488329"/>
    <w:bookmarkStart w:id="31" w:name="_Hlk507488330"/>
    <w:bookmarkStart w:id="32" w:name="_Hlk507488381"/>
    <w:bookmarkStart w:id="33" w:name="_Hlk507488382"/>
    <w:bookmarkStart w:id="34" w:name="_Hlk507488625"/>
    <w:bookmarkStart w:id="35" w:name="_Hlk507488626"/>
    <w:bookmarkStart w:id="36" w:name="_Hlk507488844"/>
    <w:bookmarkStart w:id="37" w:name="_Hlk507488845"/>
    <w:r w:rsidRPr="0077508B">
      <w:rPr>
        <w:noProof/>
      </w:rPr>
      <w:drawing>
        <wp:inline distT="0" distB="0" distL="0" distR="0" wp14:anchorId="41C9F2CE" wp14:editId="7B74B375">
          <wp:extent cx="6152515" cy="623570"/>
          <wp:effectExtent l="0" t="0" r="635" b="5080"/>
          <wp:docPr id="6" name="Picture 4" descr="C:\Users\User_2\Pictures\logos REVOCC.png"/>
          <wp:cNvGraphicFramePr/>
          <a:graphic xmlns:a="http://schemas.openxmlformats.org/drawingml/2006/main">
            <a:graphicData uri="http://schemas.openxmlformats.org/drawingml/2006/picture">
              <pic:pic xmlns:pic="http://schemas.openxmlformats.org/drawingml/2006/picture">
                <pic:nvPicPr>
                  <pic:cNvPr id="5" name="Picture 4" descr="C:\Users\User_2\Pictures\logos REVOCC.png"/>
                  <pic:cNvPicPr/>
                </pic:nvPicPr>
                <pic:blipFill>
                  <a:blip r:embed="rId1">
                    <a:extLst>
                      <a:ext uri="{28A0092B-C50C-407E-A947-70E740481C1C}">
                        <a14:useLocalDpi xmlns:a14="http://schemas.microsoft.com/office/drawing/2010/main" val="0"/>
                      </a:ext>
                    </a:extLst>
                  </a:blip>
                  <a:srcRect b="39095"/>
                  <a:stretch>
                    <a:fillRect/>
                  </a:stretch>
                </pic:blipFill>
                <pic:spPr bwMode="auto">
                  <a:xfrm>
                    <a:off x="0" y="0"/>
                    <a:ext cx="6152515" cy="623570"/>
                  </a:xfrm>
                  <a:prstGeom prst="rect">
                    <a:avLst/>
                  </a:prstGeom>
                  <a:noFill/>
                  <a:ln>
                    <a:noFill/>
                  </a:ln>
                </pic:spPr>
              </pic:pic>
            </a:graphicData>
          </a:graphic>
        </wp:inline>
      </w:drawing>
    </w:r>
  </w:p>
  <w:p w:rsidR="00BB08DA" w:rsidRDefault="00BB08DA" w:rsidP="00BB08DA">
    <w:pPr>
      <w:spacing w:after="120"/>
      <w:jc w:val="center"/>
      <w:rPr>
        <w:rFonts w:ascii="Times Roman" w:eastAsia="Arial Unicode MS" w:hAnsi="Times Roman" w:cs="Arial Unicode MS"/>
        <w:b/>
        <w:bCs/>
        <w:color w:val="002060"/>
        <w:sz w:val="24"/>
        <w:szCs w:val="24"/>
        <w:lang w:val="en-GB" w:eastAsia="ro-RO"/>
      </w:rPr>
    </w:pPr>
  </w:p>
  <w:p w:rsidR="00BB08DA" w:rsidRPr="00E0034B" w:rsidRDefault="00BB08DA" w:rsidP="00BB08DA">
    <w:pPr>
      <w:spacing w:after="120"/>
      <w:jc w:val="center"/>
      <w:rPr>
        <w:rFonts w:ascii="Times Roman" w:eastAsia="Arial Unicode MS" w:hAnsi="Times Roman" w:cs="Arial Unicode MS"/>
        <w:b/>
        <w:bCs/>
        <w:color w:val="002060"/>
        <w:sz w:val="24"/>
        <w:szCs w:val="24"/>
        <w:lang w:val="en-GB" w:eastAsia="ro-RO"/>
      </w:rPr>
    </w:pPr>
    <w:r w:rsidRPr="00E0034B">
      <w:rPr>
        <w:rFonts w:ascii="Times Roman" w:eastAsia="Arial Unicode MS" w:hAnsi="Times Roman" w:cs="Arial Unicode MS"/>
        <w:b/>
        <w:bCs/>
        <w:color w:val="002060"/>
        <w:sz w:val="24"/>
        <w:szCs w:val="24"/>
        <w:lang w:val="en-GB" w:eastAsia="ro-RO"/>
      </w:rPr>
      <w:t xml:space="preserve">RE-ENGINEERING VOCATIONAL ORIENTATION AND CAREER COUNSELLING </w:t>
    </w:r>
    <w:r w:rsidRPr="00E0034B">
      <w:rPr>
        <w:rFonts w:ascii="Times Roman" w:eastAsia="Arial Unicode MS" w:hAnsi="Times Roman" w:cs="Arial Unicode MS"/>
        <w:b/>
        <w:bCs/>
        <w:color w:val="002060"/>
        <w:sz w:val="24"/>
        <w:szCs w:val="24"/>
        <w:lang w:val="en-GB" w:eastAsia="ro-RO"/>
      </w:rPr>
      <w:br/>
      <w:t>(REVOCC)</w:t>
    </w:r>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BB08DA" w:rsidRDefault="00BB08DA">
    <w:pPr>
      <w:pStyle w:val="Ante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5CE7"/>
    <w:rsid w:val="00007F44"/>
    <w:rsid w:val="00041FF9"/>
    <w:rsid w:val="000464E9"/>
    <w:rsid w:val="00120E89"/>
    <w:rsid w:val="00122B8D"/>
    <w:rsid w:val="0013089E"/>
    <w:rsid w:val="001C5004"/>
    <w:rsid w:val="00205BE6"/>
    <w:rsid w:val="00222E3F"/>
    <w:rsid w:val="002875BE"/>
    <w:rsid w:val="002A02C2"/>
    <w:rsid w:val="002A1DDF"/>
    <w:rsid w:val="002A699B"/>
    <w:rsid w:val="00310F0F"/>
    <w:rsid w:val="00330A1C"/>
    <w:rsid w:val="00340689"/>
    <w:rsid w:val="00361F0A"/>
    <w:rsid w:val="003B3533"/>
    <w:rsid w:val="003D72FF"/>
    <w:rsid w:val="00421040"/>
    <w:rsid w:val="0047059A"/>
    <w:rsid w:val="00474634"/>
    <w:rsid w:val="00474AC5"/>
    <w:rsid w:val="004E2DA8"/>
    <w:rsid w:val="004E6F68"/>
    <w:rsid w:val="00555621"/>
    <w:rsid w:val="00595CE7"/>
    <w:rsid w:val="005B459F"/>
    <w:rsid w:val="005C03BF"/>
    <w:rsid w:val="006925DD"/>
    <w:rsid w:val="006B37FF"/>
    <w:rsid w:val="007264F9"/>
    <w:rsid w:val="007A14F6"/>
    <w:rsid w:val="007E4ABA"/>
    <w:rsid w:val="00830F0B"/>
    <w:rsid w:val="0089262F"/>
    <w:rsid w:val="008A37EA"/>
    <w:rsid w:val="008C0893"/>
    <w:rsid w:val="00936F23"/>
    <w:rsid w:val="0094067C"/>
    <w:rsid w:val="00980009"/>
    <w:rsid w:val="009C2A95"/>
    <w:rsid w:val="009E0318"/>
    <w:rsid w:val="00A839E7"/>
    <w:rsid w:val="00A93236"/>
    <w:rsid w:val="00AB182B"/>
    <w:rsid w:val="00AE39EC"/>
    <w:rsid w:val="00B073A0"/>
    <w:rsid w:val="00B27C70"/>
    <w:rsid w:val="00B563C8"/>
    <w:rsid w:val="00B67A1C"/>
    <w:rsid w:val="00B84ABE"/>
    <w:rsid w:val="00B84BE1"/>
    <w:rsid w:val="00B903CE"/>
    <w:rsid w:val="00B9725F"/>
    <w:rsid w:val="00BB08DA"/>
    <w:rsid w:val="00C368EC"/>
    <w:rsid w:val="00C46D06"/>
    <w:rsid w:val="00C625A2"/>
    <w:rsid w:val="00CD00AF"/>
    <w:rsid w:val="00CD2754"/>
    <w:rsid w:val="00CE0F22"/>
    <w:rsid w:val="00D135F8"/>
    <w:rsid w:val="00D4333C"/>
    <w:rsid w:val="00D47C3B"/>
    <w:rsid w:val="00D72328"/>
    <w:rsid w:val="00D80E2A"/>
    <w:rsid w:val="00DA676C"/>
    <w:rsid w:val="00DB7C88"/>
    <w:rsid w:val="00E34F42"/>
    <w:rsid w:val="00E563E8"/>
    <w:rsid w:val="00E62E47"/>
    <w:rsid w:val="00ED3380"/>
    <w:rsid w:val="00F42C17"/>
    <w:rsid w:val="00F61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7"/>
        <o:r id="V:Rule2" type="connector" idref="#_x0000_s1029"/>
      </o:rules>
    </o:shapelayout>
  </w:shapeDefaults>
  <w:decimalSymbol w:val=","/>
  <w:listSeparator w:val=";"/>
  <w14:docId w14:val="71EE7E23"/>
  <w15:docId w15:val="{74B986B5-F871-4113-B5D7-5001AAA9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F23"/>
  </w:style>
  <w:style w:type="paragraph" w:styleId="Titlu1">
    <w:name w:val="heading 1"/>
    <w:basedOn w:val="Normal"/>
    <w:next w:val="Normal"/>
    <w:link w:val="Titlu1Caracter"/>
    <w:uiPriority w:val="9"/>
    <w:qFormat/>
    <w:rsid w:val="00361F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unhideWhenUsed/>
    <w:qFormat/>
    <w:rsid w:val="006925D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Style1">
    <w:name w:val="Style1"/>
    <w:basedOn w:val="TabelProfesional"/>
    <w:uiPriority w:val="99"/>
    <w:qFormat/>
    <w:rsid w:val="007A14F6"/>
    <w:pPr>
      <w:spacing w:after="0" w:line="240" w:lineRule="auto"/>
    </w:pP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Profesional">
    <w:name w:val="Table Professional"/>
    <w:basedOn w:val="TabelNormal"/>
    <w:uiPriority w:val="99"/>
    <w:semiHidden/>
    <w:unhideWhenUsed/>
    <w:rsid w:val="007A14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TextnBalon">
    <w:name w:val="Balloon Text"/>
    <w:basedOn w:val="Normal"/>
    <w:link w:val="TextnBalonCaracter"/>
    <w:uiPriority w:val="99"/>
    <w:semiHidden/>
    <w:unhideWhenUsed/>
    <w:rsid w:val="00B9725F"/>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B9725F"/>
    <w:rPr>
      <w:rFonts w:ascii="Tahoma" w:hAnsi="Tahoma" w:cs="Tahoma"/>
      <w:sz w:val="16"/>
      <w:szCs w:val="16"/>
    </w:rPr>
  </w:style>
  <w:style w:type="paragraph" w:styleId="Antet">
    <w:name w:val="header"/>
    <w:basedOn w:val="Normal"/>
    <w:link w:val="AntetCaracter"/>
    <w:uiPriority w:val="99"/>
    <w:unhideWhenUsed/>
    <w:rsid w:val="00007F44"/>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007F44"/>
  </w:style>
  <w:style w:type="paragraph" w:styleId="Subsol">
    <w:name w:val="footer"/>
    <w:basedOn w:val="Normal"/>
    <w:link w:val="SubsolCaracter"/>
    <w:uiPriority w:val="99"/>
    <w:unhideWhenUsed/>
    <w:rsid w:val="00007F44"/>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007F44"/>
  </w:style>
  <w:style w:type="character" w:customStyle="1" w:styleId="Titlu2Caracter">
    <w:name w:val="Titlu 2 Caracter"/>
    <w:basedOn w:val="Fontdeparagrafimplicit"/>
    <w:link w:val="Titlu2"/>
    <w:uiPriority w:val="9"/>
    <w:rsid w:val="006925DD"/>
    <w:rPr>
      <w:rFonts w:asciiTheme="majorHAnsi" w:eastAsiaTheme="majorEastAsia" w:hAnsiTheme="majorHAnsi" w:cstheme="majorBidi"/>
      <w:b/>
      <w:bCs/>
      <w:color w:val="4F81BD" w:themeColor="accent1"/>
      <w:sz w:val="26"/>
      <w:szCs w:val="26"/>
    </w:rPr>
  </w:style>
  <w:style w:type="paragraph" w:styleId="Textnotdesubsol">
    <w:name w:val="footnote text"/>
    <w:basedOn w:val="Normal"/>
    <w:link w:val="TextnotdesubsolCaracter"/>
    <w:uiPriority w:val="99"/>
    <w:semiHidden/>
    <w:unhideWhenUsed/>
    <w:rsid w:val="00E34F42"/>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E34F42"/>
    <w:rPr>
      <w:sz w:val="20"/>
      <w:szCs w:val="20"/>
    </w:rPr>
  </w:style>
  <w:style w:type="character" w:styleId="Referinnotdesubsol">
    <w:name w:val="footnote reference"/>
    <w:basedOn w:val="Fontdeparagrafimplicit"/>
    <w:uiPriority w:val="99"/>
    <w:semiHidden/>
    <w:unhideWhenUsed/>
    <w:rsid w:val="00E34F42"/>
    <w:rPr>
      <w:vertAlign w:val="superscript"/>
    </w:rPr>
  </w:style>
  <w:style w:type="character" w:customStyle="1" w:styleId="Titlu1Caracter">
    <w:name w:val="Titlu 1 Caracter"/>
    <w:basedOn w:val="Fontdeparagrafimplicit"/>
    <w:link w:val="Titlu1"/>
    <w:uiPriority w:val="9"/>
    <w:rsid w:val="00361F0A"/>
    <w:rPr>
      <w:rFonts w:asciiTheme="majorHAnsi" w:eastAsiaTheme="majorEastAsia" w:hAnsiTheme="majorHAnsi" w:cstheme="majorBidi"/>
      <w:b/>
      <w:bCs/>
      <w:color w:val="365F91" w:themeColor="accent1" w:themeShade="BF"/>
      <w:sz w:val="28"/>
      <w:szCs w:val="28"/>
    </w:rPr>
  </w:style>
  <w:style w:type="character" w:styleId="Hyperlink">
    <w:name w:val="Hyperlink"/>
    <w:basedOn w:val="Fontdeparagrafimplicit"/>
    <w:uiPriority w:val="99"/>
    <w:unhideWhenUsed/>
    <w:rsid w:val="003B3533"/>
    <w:rPr>
      <w:color w:val="0000FF" w:themeColor="hyperlink"/>
      <w:u w:val="single"/>
    </w:rPr>
  </w:style>
  <w:style w:type="paragraph" w:styleId="Titlucuprins">
    <w:name w:val="TOC Heading"/>
    <w:basedOn w:val="Titlu1"/>
    <w:next w:val="Normal"/>
    <w:uiPriority w:val="39"/>
    <w:semiHidden/>
    <w:unhideWhenUsed/>
    <w:qFormat/>
    <w:rsid w:val="003B3533"/>
    <w:pPr>
      <w:outlineLvl w:val="9"/>
    </w:pPr>
    <w:rPr>
      <w:lang w:val="en-US"/>
    </w:rPr>
  </w:style>
  <w:style w:type="paragraph" w:styleId="Cuprins1">
    <w:name w:val="toc 1"/>
    <w:basedOn w:val="Normal"/>
    <w:next w:val="Normal"/>
    <w:autoRedefine/>
    <w:uiPriority w:val="39"/>
    <w:unhideWhenUsed/>
    <w:rsid w:val="003B3533"/>
    <w:pPr>
      <w:spacing w:after="100"/>
    </w:pPr>
  </w:style>
  <w:style w:type="paragraph" w:styleId="Cuprins2">
    <w:name w:val="toc 2"/>
    <w:basedOn w:val="Normal"/>
    <w:next w:val="Normal"/>
    <w:autoRedefine/>
    <w:uiPriority w:val="39"/>
    <w:unhideWhenUsed/>
    <w:rsid w:val="003B353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3" Type="http://schemas.openxmlformats.org/officeDocument/2006/relationships/settings" Target="settings.xml"/><Relationship Id="rId21" Type="http://schemas.openxmlformats.org/officeDocument/2006/relationships/chart" Target="charts/chart10.xml"/><Relationship Id="rId34" Type="http://schemas.openxmlformats.org/officeDocument/2006/relationships/fontTable" Target="fontTable.xml"/><Relationship Id="rId7" Type="http://schemas.openxmlformats.org/officeDocument/2006/relationships/diagramData" Target="diagrams/data1.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chart" Target="charts/chart18.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chart" Target="charts/chart13.xm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10" Type="http://schemas.openxmlformats.org/officeDocument/2006/relationships/diagramColors" Target="diagrams/colors1.xml"/><Relationship Id="rId19" Type="http://schemas.openxmlformats.org/officeDocument/2006/relationships/chart" Target="charts/chart8.xml"/><Relationship Id="rId31" Type="http://schemas.openxmlformats.org/officeDocument/2006/relationships/chart" Target="charts/chart20.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galitate.md/decisions-opin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Revoc\RevocDataBase.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user\Desktop\Revoc\RevocDataBase.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user\Desktop\Revoc\RevocDataBase.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user\Desktop\Revoc\RevocDataBase.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user\Desktop\Revoc\RevocDataBase.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user\Desktop\Revoc\RevocDataBase.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user\Desktop\Revoc\RevocDataBase.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user\Desktop\Revoc\RevocDataBase.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user\Desktop\Revoc\RevocDataBase.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user\Desktop\Revoc\RevocDataBase.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user\Desktop\Revoc\RevocDataBas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Revoc\RevocDataBase.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user\Desktop\Revoc\RevocDataBas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Revoc\RevocDataBas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esktop\Revoc\RevocDataBase.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esktop\Revoc\RevocDataBase.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Desktop\Revoc\RevocDataBase.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user\Desktop\Revoc\RevocDataBase.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user\Desktop\Revoc\RevocDataBase.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user\Desktop\Revoc\RevocDataBas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barChart>
        <c:barDir val="col"/>
        <c:grouping val="clustered"/>
        <c:varyColors val="0"/>
        <c:ser>
          <c:idx val="0"/>
          <c:order val="0"/>
          <c:invertIfNegative val="0"/>
          <c:dLbls>
            <c:spPr>
              <a:noFill/>
              <a:ln>
                <a:noFill/>
              </a:ln>
              <a:effectLst/>
            </c:spPr>
            <c:txPr>
              <a:bodyPr/>
              <a:lstStyle/>
              <a:p>
                <a:pPr>
                  <a:defRPr lang="ro-RO"/>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Sheet2!$E$8:$E$9</c:f>
              <c:strCache>
                <c:ptCount val="2"/>
                <c:pt idx="0">
                  <c:v>Relevanta de gen</c:v>
                </c:pt>
                <c:pt idx="1">
                  <c:v>Integrarea egalitatii de gen </c:v>
                </c:pt>
              </c:strCache>
            </c:strRef>
          </c:cat>
          <c:val>
            <c:numRef>
              <c:f>Sheet2!$F$8:$F$9</c:f>
              <c:numCache>
                <c:formatCode>General</c:formatCode>
                <c:ptCount val="2"/>
                <c:pt idx="0">
                  <c:v>2.5</c:v>
                </c:pt>
                <c:pt idx="1">
                  <c:v>2</c:v>
                </c:pt>
              </c:numCache>
            </c:numRef>
          </c:val>
          <c:extLst>
            <c:ext xmlns:c16="http://schemas.microsoft.com/office/drawing/2014/chart" uri="{C3380CC4-5D6E-409C-BE32-E72D297353CC}">
              <c16:uniqueId val="{00000000-9C0F-4E1D-88A0-2C07B699F410}"/>
            </c:ext>
          </c:extLst>
        </c:ser>
        <c:dLbls>
          <c:showLegendKey val="0"/>
          <c:showVal val="0"/>
          <c:showCatName val="0"/>
          <c:showSerName val="0"/>
          <c:showPercent val="0"/>
          <c:showBubbleSize val="0"/>
        </c:dLbls>
        <c:gapWidth val="150"/>
        <c:axId val="61993344"/>
        <c:axId val="62123392"/>
      </c:barChart>
      <c:catAx>
        <c:axId val="61993344"/>
        <c:scaling>
          <c:orientation val="minMax"/>
        </c:scaling>
        <c:delete val="0"/>
        <c:axPos val="b"/>
        <c:numFmt formatCode="General" sourceLinked="0"/>
        <c:majorTickMark val="out"/>
        <c:minorTickMark val="none"/>
        <c:tickLblPos val="nextTo"/>
        <c:txPr>
          <a:bodyPr/>
          <a:lstStyle/>
          <a:p>
            <a:pPr>
              <a:defRPr lang="ro-RO"/>
            </a:pPr>
            <a:endParaRPr lang="ro-RO"/>
          </a:p>
        </c:txPr>
        <c:crossAx val="62123392"/>
        <c:crosses val="autoZero"/>
        <c:auto val="1"/>
        <c:lblAlgn val="ctr"/>
        <c:lblOffset val="100"/>
        <c:noMultiLvlLbl val="0"/>
      </c:catAx>
      <c:valAx>
        <c:axId val="62123392"/>
        <c:scaling>
          <c:orientation val="minMax"/>
        </c:scaling>
        <c:delete val="0"/>
        <c:axPos val="l"/>
        <c:majorGridlines/>
        <c:numFmt formatCode="General" sourceLinked="1"/>
        <c:majorTickMark val="out"/>
        <c:minorTickMark val="none"/>
        <c:tickLblPos val="nextTo"/>
        <c:txPr>
          <a:bodyPr/>
          <a:lstStyle/>
          <a:p>
            <a:pPr>
              <a:defRPr lang="ro-RO"/>
            </a:pPr>
            <a:endParaRPr lang="ro-RO"/>
          </a:p>
        </c:txPr>
        <c:crossAx val="61993344"/>
        <c:crosses val="autoZero"/>
        <c:crossBetween val="between"/>
      </c:valAx>
    </c:plotArea>
    <c:plotVisOnly val="1"/>
    <c:dispBlanksAs val="gap"/>
    <c:showDLblsOverMax val="0"/>
  </c:chart>
  <c:spPr>
    <a:solidFill>
      <a:schemeClr val="lt1"/>
    </a:solidFill>
    <a:ln w="25400" cap="flat" cmpd="sng" algn="ctr">
      <a:solidFill>
        <a:schemeClr val="accent6"/>
      </a:solidFill>
      <a:prstDash val="solid"/>
    </a:ln>
    <a:effectLst/>
  </c:spPr>
  <c:txPr>
    <a:bodyPr/>
    <a:lstStyle/>
    <a:p>
      <a:pPr>
        <a:defRPr>
          <a:solidFill>
            <a:schemeClr val="dk1"/>
          </a:solidFill>
          <a:latin typeface="+mn-lt"/>
          <a:ea typeface="+mn-ea"/>
          <a:cs typeface="+mn-cs"/>
        </a:defRPr>
      </a:pPr>
      <a:endParaRPr lang="ro-RO"/>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Sheet1!$B$2</c:f>
              <c:strCache>
                <c:ptCount val="1"/>
                <c:pt idx="0">
                  <c:v>Relevanta de Gen</c:v>
                </c:pt>
              </c:strCache>
            </c:strRef>
          </c:tx>
          <c:invertIfNegative val="0"/>
          <c:dLbls>
            <c:spPr>
              <a:noFill/>
              <a:ln>
                <a:noFill/>
              </a:ln>
              <a:effectLst/>
            </c:spPr>
            <c:txPr>
              <a:bodyPr/>
              <a:lstStyle/>
              <a:p>
                <a:pPr>
                  <a:defRPr lang="ro-RO"/>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Sheet1!$A$3:$A$11</c:f>
              <c:strCache>
                <c:ptCount val="9"/>
                <c:pt idx="0">
                  <c:v>Clasa V Lectia 1</c:v>
                </c:pt>
                <c:pt idx="1">
                  <c:v>Clasa V Lectia 2</c:v>
                </c:pt>
                <c:pt idx="2">
                  <c:v>Clasa V Lectia 3</c:v>
                </c:pt>
                <c:pt idx="3">
                  <c:v>Clasa V Lectia 4</c:v>
                </c:pt>
                <c:pt idx="4">
                  <c:v>Clasa V Lectia 5</c:v>
                </c:pt>
                <c:pt idx="5">
                  <c:v>Clasa V Lectia 6</c:v>
                </c:pt>
                <c:pt idx="6">
                  <c:v>Clasa V Lectia 7</c:v>
                </c:pt>
                <c:pt idx="7">
                  <c:v>Clasa V Lectia 8</c:v>
                </c:pt>
                <c:pt idx="8">
                  <c:v>MEDIA</c:v>
                </c:pt>
              </c:strCache>
            </c:strRef>
          </c:cat>
          <c:val>
            <c:numRef>
              <c:f>Sheet1!$B$3:$B$11</c:f>
              <c:numCache>
                <c:formatCode>0.0</c:formatCode>
                <c:ptCount val="9"/>
                <c:pt idx="0">
                  <c:v>2.5</c:v>
                </c:pt>
                <c:pt idx="1">
                  <c:v>3</c:v>
                </c:pt>
                <c:pt idx="2">
                  <c:v>2</c:v>
                </c:pt>
                <c:pt idx="3">
                  <c:v>2</c:v>
                </c:pt>
                <c:pt idx="4">
                  <c:v>3.5</c:v>
                </c:pt>
                <c:pt idx="5">
                  <c:v>2.5</c:v>
                </c:pt>
                <c:pt idx="6">
                  <c:v>2</c:v>
                </c:pt>
                <c:pt idx="7">
                  <c:v>3</c:v>
                </c:pt>
                <c:pt idx="8">
                  <c:v>2.5625</c:v>
                </c:pt>
              </c:numCache>
            </c:numRef>
          </c:val>
          <c:extLst>
            <c:ext xmlns:c16="http://schemas.microsoft.com/office/drawing/2014/chart" uri="{C3380CC4-5D6E-409C-BE32-E72D297353CC}">
              <c16:uniqueId val="{00000000-CCD7-40F0-82A2-4DD7CA018364}"/>
            </c:ext>
          </c:extLst>
        </c:ser>
        <c:ser>
          <c:idx val="1"/>
          <c:order val="1"/>
          <c:tx>
            <c:strRef>
              <c:f>Sheet1!$C$2</c:f>
              <c:strCache>
                <c:ptCount val="1"/>
                <c:pt idx="0">
                  <c:v>Integrarea Egalitatii de Gen</c:v>
                </c:pt>
              </c:strCache>
            </c:strRef>
          </c:tx>
          <c:invertIfNegative val="0"/>
          <c:dLbls>
            <c:spPr>
              <a:noFill/>
              <a:ln>
                <a:noFill/>
              </a:ln>
              <a:effectLst/>
            </c:spPr>
            <c:txPr>
              <a:bodyPr/>
              <a:lstStyle/>
              <a:p>
                <a:pPr>
                  <a:defRPr lang="ro-RO"/>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Sheet1!$A$3:$A$11</c:f>
              <c:strCache>
                <c:ptCount val="9"/>
                <c:pt idx="0">
                  <c:v>Clasa V Lectia 1</c:v>
                </c:pt>
                <c:pt idx="1">
                  <c:v>Clasa V Lectia 2</c:v>
                </c:pt>
                <c:pt idx="2">
                  <c:v>Clasa V Lectia 3</c:v>
                </c:pt>
                <c:pt idx="3">
                  <c:v>Clasa V Lectia 4</c:v>
                </c:pt>
                <c:pt idx="4">
                  <c:v>Clasa V Lectia 5</c:v>
                </c:pt>
                <c:pt idx="5">
                  <c:v>Clasa V Lectia 6</c:v>
                </c:pt>
                <c:pt idx="6">
                  <c:v>Clasa V Lectia 7</c:v>
                </c:pt>
                <c:pt idx="7">
                  <c:v>Clasa V Lectia 8</c:v>
                </c:pt>
                <c:pt idx="8">
                  <c:v>MEDIA</c:v>
                </c:pt>
              </c:strCache>
            </c:strRef>
          </c:cat>
          <c:val>
            <c:numRef>
              <c:f>Sheet1!$C$3:$C$11</c:f>
              <c:numCache>
                <c:formatCode>0.0</c:formatCode>
                <c:ptCount val="9"/>
                <c:pt idx="0">
                  <c:v>2</c:v>
                </c:pt>
                <c:pt idx="1">
                  <c:v>2</c:v>
                </c:pt>
                <c:pt idx="2">
                  <c:v>2</c:v>
                </c:pt>
                <c:pt idx="3">
                  <c:v>2</c:v>
                </c:pt>
                <c:pt idx="4">
                  <c:v>3.5</c:v>
                </c:pt>
                <c:pt idx="5">
                  <c:v>2.5</c:v>
                </c:pt>
                <c:pt idx="6">
                  <c:v>2</c:v>
                </c:pt>
                <c:pt idx="7">
                  <c:v>2.5</c:v>
                </c:pt>
                <c:pt idx="8">
                  <c:v>2.3124999999999982</c:v>
                </c:pt>
              </c:numCache>
            </c:numRef>
          </c:val>
          <c:extLst>
            <c:ext xmlns:c16="http://schemas.microsoft.com/office/drawing/2014/chart" uri="{C3380CC4-5D6E-409C-BE32-E72D297353CC}">
              <c16:uniqueId val="{00000001-CCD7-40F0-82A2-4DD7CA018364}"/>
            </c:ext>
          </c:extLst>
        </c:ser>
        <c:dLbls>
          <c:showLegendKey val="0"/>
          <c:showVal val="1"/>
          <c:showCatName val="0"/>
          <c:showSerName val="0"/>
          <c:showPercent val="0"/>
          <c:showBubbleSize val="0"/>
        </c:dLbls>
        <c:gapWidth val="150"/>
        <c:overlap val="-25"/>
        <c:axId val="65233664"/>
        <c:axId val="65235200"/>
      </c:barChart>
      <c:catAx>
        <c:axId val="65233664"/>
        <c:scaling>
          <c:orientation val="minMax"/>
        </c:scaling>
        <c:delete val="0"/>
        <c:axPos val="b"/>
        <c:numFmt formatCode="General" sourceLinked="0"/>
        <c:majorTickMark val="none"/>
        <c:minorTickMark val="none"/>
        <c:tickLblPos val="nextTo"/>
        <c:txPr>
          <a:bodyPr/>
          <a:lstStyle/>
          <a:p>
            <a:pPr>
              <a:defRPr lang="ro-RO"/>
            </a:pPr>
            <a:endParaRPr lang="ro-RO"/>
          </a:p>
        </c:txPr>
        <c:crossAx val="65235200"/>
        <c:crosses val="autoZero"/>
        <c:auto val="1"/>
        <c:lblAlgn val="ctr"/>
        <c:lblOffset val="100"/>
        <c:noMultiLvlLbl val="0"/>
      </c:catAx>
      <c:valAx>
        <c:axId val="65235200"/>
        <c:scaling>
          <c:orientation val="minMax"/>
        </c:scaling>
        <c:delete val="1"/>
        <c:axPos val="l"/>
        <c:numFmt formatCode="0.0" sourceLinked="1"/>
        <c:majorTickMark val="out"/>
        <c:minorTickMark val="none"/>
        <c:tickLblPos val="none"/>
        <c:crossAx val="65233664"/>
        <c:crosses val="autoZero"/>
        <c:crossBetween val="between"/>
      </c:valAx>
    </c:plotArea>
    <c:legend>
      <c:legendPos val="t"/>
      <c:overlay val="0"/>
      <c:txPr>
        <a:bodyPr/>
        <a:lstStyle/>
        <a:p>
          <a:pPr>
            <a:defRPr lang="ro-RO"/>
          </a:pPr>
          <a:endParaRPr lang="ro-RO"/>
        </a:p>
      </c:txPr>
    </c:legend>
    <c:plotVisOnly val="1"/>
    <c:dispBlanksAs val="gap"/>
    <c:showDLblsOverMax val="0"/>
  </c:chart>
  <c:spPr>
    <a:solidFill>
      <a:schemeClr val="lt1"/>
    </a:solidFill>
    <a:ln w="25400" cap="flat" cmpd="sng" algn="ctr">
      <a:solidFill>
        <a:schemeClr val="accent6"/>
      </a:solidFill>
      <a:prstDash val="solid"/>
    </a:ln>
    <a:effectLst/>
  </c:spPr>
  <c:txPr>
    <a:bodyPr/>
    <a:lstStyle/>
    <a:p>
      <a:pPr>
        <a:defRPr>
          <a:solidFill>
            <a:schemeClr val="dk1"/>
          </a:solidFill>
          <a:latin typeface="+mn-lt"/>
          <a:ea typeface="+mn-ea"/>
          <a:cs typeface="+mn-cs"/>
        </a:defRPr>
      </a:pPr>
      <a:endParaRPr lang="ro-RO"/>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Sheet1!$B$28</c:f>
              <c:strCache>
                <c:ptCount val="1"/>
                <c:pt idx="0">
                  <c:v>Relevanta de Gen</c:v>
                </c:pt>
              </c:strCache>
            </c:strRef>
          </c:tx>
          <c:invertIfNegative val="0"/>
          <c:dLbls>
            <c:spPr>
              <a:noFill/>
              <a:ln>
                <a:noFill/>
              </a:ln>
              <a:effectLst/>
            </c:spPr>
            <c:txPr>
              <a:bodyPr/>
              <a:lstStyle/>
              <a:p>
                <a:pPr>
                  <a:defRPr lang="ro-RO"/>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Sheet1!$A$29:$A$37</c:f>
              <c:strCache>
                <c:ptCount val="9"/>
                <c:pt idx="0">
                  <c:v>Clasa VI Lectia 1</c:v>
                </c:pt>
                <c:pt idx="1">
                  <c:v>Clasa VI Lectia 2</c:v>
                </c:pt>
                <c:pt idx="2">
                  <c:v>Clasa VI Lectia 3</c:v>
                </c:pt>
                <c:pt idx="3">
                  <c:v>Clasa VI Lectia 4</c:v>
                </c:pt>
                <c:pt idx="4">
                  <c:v>Clasa VI Lectia 5</c:v>
                </c:pt>
                <c:pt idx="5">
                  <c:v>Clasa VI Lectia 6</c:v>
                </c:pt>
                <c:pt idx="6">
                  <c:v>Clasa VI Lectia 7</c:v>
                </c:pt>
                <c:pt idx="7">
                  <c:v>Clasa VI Lectia 8</c:v>
                </c:pt>
                <c:pt idx="8">
                  <c:v>MEDIA</c:v>
                </c:pt>
              </c:strCache>
            </c:strRef>
          </c:cat>
          <c:val>
            <c:numRef>
              <c:f>Sheet1!$B$29:$B$37</c:f>
              <c:numCache>
                <c:formatCode>0.0</c:formatCode>
                <c:ptCount val="9"/>
                <c:pt idx="0">
                  <c:v>2</c:v>
                </c:pt>
                <c:pt idx="1">
                  <c:v>2</c:v>
                </c:pt>
                <c:pt idx="2">
                  <c:v>2</c:v>
                </c:pt>
                <c:pt idx="3">
                  <c:v>2.5</c:v>
                </c:pt>
                <c:pt idx="4">
                  <c:v>2</c:v>
                </c:pt>
                <c:pt idx="5">
                  <c:v>3</c:v>
                </c:pt>
                <c:pt idx="6">
                  <c:v>3</c:v>
                </c:pt>
                <c:pt idx="7">
                  <c:v>2.5</c:v>
                </c:pt>
                <c:pt idx="8">
                  <c:v>2.3749999999999987</c:v>
                </c:pt>
              </c:numCache>
            </c:numRef>
          </c:val>
          <c:extLst>
            <c:ext xmlns:c16="http://schemas.microsoft.com/office/drawing/2014/chart" uri="{C3380CC4-5D6E-409C-BE32-E72D297353CC}">
              <c16:uniqueId val="{00000000-6B5E-4340-B146-2546FA912B6C}"/>
            </c:ext>
          </c:extLst>
        </c:ser>
        <c:ser>
          <c:idx val="1"/>
          <c:order val="1"/>
          <c:tx>
            <c:strRef>
              <c:f>Sheet1!$C$28</c:f>
              <c:strCache>
                <c:ptCount val="1"/>
                <c:pt idx="0">
                  <c:v>Integrarea Egalitatii de Gen</c:v>
                </c:pt>
              </c:strCache>
            </c:strRef>
          </c:tx>
          <c:invertIfNegative val="0"/>
          <c:dLbls>
            <c:spPr>
              <a:noFill/>
              <a:ln>
                <a:noFill/>
              </a:ln>
              <a:effectLst/>
            </c:spPr>
            <c:txPr>
              <a:bodyPr/>
              <a:lstStyle/>
              <a:p>
                <a:pPr>
                  <a:defRPr lang="ro-RO"/>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Sheet1!$A$29:$A$37</c:f>
              <c:strCache>
                <c:ptCount val="9"/>
                <c:pt idx="0">
                  <c:v>Clasa VI Lectia 1</c:v>
                </c:pt>
                <c:pt idx="1">
                  <c:v>Clasa VI Lectia 2</c:v>
                </c:pt>
                <c:pt idx="2">
                  <c:v>Clasa VI Lectia 3</c:v>
                </c:pt>
                <c:pt idx="3">
                  <c:v>Clasa VI Lectia 4</c:v>
                </c:pt>
                <c:pt idx="4">
                  <c:v>Clasa VI Lectia 5</c:v>
                </c:pt>
                <c:pt idx="5">
                  <c:v>Clasa VI Lectia 6</c:v>
                </c:pt>
                <c:pt idx="6">
                  <c:v>Clasa VI Lectia 7</c:v>
                </c:pt>
                <c:pt idx="7">
                  <c:v>Clasa VI Lectia 8</c:v>
                </c:pt>
                <c:pt idx="8">
                  <c:v>MEDIA</c:v>
                </c:pt>
              </c:strCache>
            </c:strRef>
          </c:cat>
          <c:val>
            <c:numRef>
              <c:f>Sheet1!$C$29:$C$37</c:f>
              <c:numCache>
                <c:formatCode>0.0</c:formatCode>
                <c:ptCount val="9"/>
                <c:pt idx="0">
                  <c:v>2</c:v>
                </c:pt>
                <c:pt idx="1">
                  <c:v>2</c:v>
                </c:pt>
                <c:pt idx="2">
                  <c:v>1.5</c:v>
                </c:pt>
                <c:pt idx="3">
                  <c:v>2.5</c:v>
                </c:pt>
                <c:pt idx="4">
                  <c:v>2</c:v>
                </c:pt>
                <c:pt idx="5">
                  <c:v>2.5</c:v>
                </c:pt>
                <c:pt idx="6">
                  <c:v>3</c:v>
                </c:pt>
                <c:pt idx="7">
                  <c:v>2.5</c:v>
                </c:pt>
                <c:pt idx="8">
                  <c:v>2.25</c:v>
                </c:pt>
              </c:numCache>
            </c:numRef>
          </c:val>
          <c:extLst>
            <c:ext xmlns:c16="http://schemas.microsoft.com/office/drawing/2014/chart" uri="{C3380CC4-5D6E-409C-BE32-E72D297353CC}">
              <c16:uniqueId val="{00000001-6B5E-4340-B146-2546FA912B6C}"/>
            </c:ext>
          </c:extLst>
        </c:ser>
        <c:dLbls>
          <c:showLegendKey val="0"/>
          <c:showVal val="1"/>
          <c:showCatName val="0"/>
          <c:showSerName val="0"/>
          <c:showPercent val="0"/>
          <c:showBubbleSize val="0"/>
        </c:dLbls>
        <c:gapWidth val="150"/>
        <c:overlap val="-25"/>
        <c:axId val="65264640"/>
        <c:axId val="65274624"/>
      </c:barChart>
      <c:catAx>
        <c:axId val="65264640"/>
        <c:scaling>
          <c:orientation val="minMax"/>
        </c:scaling>
        <c:delete val="0"/>
        <c:axPos val="b"/>
        <c:numFmt formatCode="General" sourceLinked="0"/>
        <c:majorTickMark val="none"/>
        <c:minorTickMark val="none"/>
        <c:tickLblPos val="nextTo"/>
        <c:txPr>
          <a:bodyPr/>
          <a:lstStyle/>
          <a:p>
            <a:pPr>
              <a:defRPr lang="ro-RO"/>
            </a:pPr>
            <a:endParaRPr lang="ro-RO"/>
          </a:p>
        </c:txPr>
        <c:crossAx val="65274624"/>
        <c:crosses val="autoZero"/>
        <c:auto val="1"/>
        <c:lblAlgn val="ctr"/>
        <c:lblOffset val="100"/>
        <c:noMultiLvlLbl val="0"/>
      </c:catAx>
      <c:valAx>
        <c:axId val="65274624"/>
        <c:scaling>
          <c:orientation val="minMax"/>
        </c:scaling>
        <c:delete val="1"/>
        <c:axPos val="l"/>
        <c:numFmt formatCode="0.0" sourceLinked="1"/>
        <c:majorTickMark val="out"/>
        <c:minorTickMark val="none"/>
        <c:tickLblPos val="none"/>
        <c:crossAx val="65264640"/>
        <c:crosses val="autoZero"/>
        <c:crossBetween val="between"/>
      </c:valAx>
    </c:plotArea>
    <c:legend>
      <c:legendPos val="t"/>
      <c:overlay val="0"/>
      <c:txPr>
        <a:bodyPr/>
        <a:lstStyle/>
        <a:p>
          <a:pPr>
            <a:defRPr lang="ro-RO"/>
          </a:pPr>
          <a:endParaRPr lang="ro-RO"/>
        </a:p>
      </c:txPr>
    </c:legend>
    <c:plotVisOnly val="1"/>
    <c:dispBlanksAs val="gap"/>
    <c:showDLblsOverMax val="0"/>
  </c:chart>
  <c:spPr>
    <a:solidFill>
      <a:schemeClr val="lt1"/>
    </a:solidFill>
    <a:ln w="25400" cap="flat" cmpd="sng" algn="ctr">
      <a:solidFill>
        <a:schemeClr val="accent6"/>
      </a:solidFill>
      <a:prstDash val="solid"/>
    </a:ln>
    <a:effectLst/>
  </c:spPr>
  <c:txPr>
    <a:bodyPr/>
    <a:lstStyle/>
    <a:p>
      <a:pPr>
        <a:defRPr>
          <a:solidFill>
            <a:schemeClr val="dk1"/>
          </a:solidFill>
          <a:latin typeface="+mn-lt"/>
          <a:ea typeface="+mn-ea"/>
          <a:cs typeface="+mn-cs"/>
        </a:defRPr>
      </a:pPr>
      <a:endParaRPr lang="ro-RO"/>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Sheet1!$B$48</c:f>
              <c:strCache>
                <c:ptCount val="1"/>
                <c:pt idx="0">
                  <c:v>Relevanta de Gen</c:v>
                </c:pt>
              </c:strCache>
            </c:strRef>
          </c:tx>
          <c:invertIfNegative val="0"/>
          <c:dLbls>
            <c:spPr>
              <a:noFill/>
              <a:ln>
                <a:noFill/>
              </a:ln>
              <a:effectLst/>
            </c:spPr>
            <c:txPr>
              <a:bodyPr/>
              <a:lstStyle/>
              <a:p>
                <a:pPr>
                  <a:defRPr lang="ro-RO"/>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Sheet1!$A$49:$A$57</c:f>
              <c:strCache>
                <c:ptCount val="9"/>
                <c:pt idx="0">
                  <c:v>Clasa VII Lectia 1</c:v>
                </c:pt>
                <c:pt idx="1">
                  <c:v>Clasa VII Lectia 2</c:v>
                </c:pt>
                <c:pt idx="2">
                  <c:v>Clasa VII Lectia 3</c:v>
                </c:pt>
                <c:pt idx="3">
                  <c:v>Clasa VII Lectia 4</c:v>
                </c:pt>
                <c:pt idx="4">
                  <c:v>Clasa VII Lectia 5</c:v>
                </c:pt>
                <c:pt idx="5">
                  <c:v>Clasa VII Lectia 6</c:v>
                </c:pt>
                <c:pt idx="6">
                  <c:v>Clasa VII Lectia 7</c:v>
                </c:pt>
                <c:pt idx="7">
                  <c:v>Clasa VII Lectia 8</c:v>
                </c:pt>
                <c:pt idx="8">
                  <c:v>MEDIA</c:v>
                </c:pt>
              </c:strCache>
            </c:strRef>
          </c:cat>
          <c:val>
            <c:numRef>
              <c:f>Sheet1!$B$49:$B$57</c:f>
              <c:numCache>
                <c:formatCode>0.0</c:formatCode>
                <c:ptCount val="9"/>
                <c:pt idx="0">
                  <c:v>2</c:v>
                </c:pt>
                <c:pt idx="1">
                  <c:v>2.5</c:v>
                </c:pt>
                <c:pt idx="2">
                  <c:v>3</c:v>
                </c:pt>
                <c:pt idx="3">
                  <c:v>3</c:v>
                </c:pt>
                <c:pt idx="4">
                  <c:v>3.5</c:v>
                </c:pt>
                <c:pt idx="5">
                  <c:v>3</c:v>
                </c:pt>
                <c:pt idx="6">
                  <c:v>2</c:v>
                </c:pt>
                <c:pt idx="7">
                  <c:v>2</c:v>
                </c:pt>
                <c:pt idx="8">
                  <c:v>2.625</c:v>
                </c:pt>
              </c:numCache>
            </c:numRef>
          </c:val>
          <c:extLst>
            <c:ext xmlns:c16="http://schemas.microsoft.com/office/drawing/2014/chart" uri="{C3380CC4-5D6E-409C-BE32-E72D297353CC}">
              <c16:uniqueId val="{00000000-5E67-4DE6-A2F3-5F9A8745E4B3}"/>
            </c:ext>
          </c:extLst>
        </c:ser>
        <c:ser>
          <c:idx val="1"/>
          <c:order val="1"/>
          <c:tx>
            <c:strRef>
              <c:f>Sheet1!$C$48</c:f>
              <c:strCache>
                <c:ptCount val="1"/>
                <c:pt idx="0">
                  <c:v>Integrarea Egalitatii de Gen</c:v>
                </c:pt>
              </c:strCache>
            </c:strRef>
          </c:tx>
          <c:invertIfNegative val="0"/>
          <c:dLbls>
            <c:spPr>
              <a:noFill/>
              <a:ln>
                <a:noFill/>
              </a:ln>
              <a:effectLst/>
            </c:spPr>
            <c:txPr>
              <a:bodyPr/>
              <a:lstStyle/>
              <a:p>
                <a:pPr>
                  <a:defRPr lang="ro-RO"/>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Sheet1!$A$49:$A$57</c:f>
              <c:strCache>
                <c:ptCount val="9"/>
                <c:pt idx="0">
                  <c:v>Clasa VII Lectia 1</c:v>
                </c:pt>
                <c:pt idx="1">
                  <c:v>Clasa VII Lectia 2</c:v>
                </c:pt>
                <c:pt idx="2">
                  <c:v>Clasa VII Lectia 3</c:v>
                </c:pt>
                <c:pt idx="3">
                  <c:v>Clasa VII Lectia 4</c:v>
                </c:pt>
                <c:pt idx="4">
                  <c:v>Clasa VII Lectia 5</c:v>
                </c:pt>
                <c:pt idx="5">
                  <c:v>Clasa VII Lectia 6</c:v>
                </c:pt>
                <c:pt idx="6">
                  <c:v>Clasa VII Lectia 7</c:v>
                </c:pt>
                <c:pt idx="7">
                  <c:v>Clasa VII Lectia 8</c:v>
                </c:pt>
                <c:pt idx="8">
                  <c:v>MEDIA</c:v>
                </c:pt>
              </c:strCache>
            </c:strRef>
          </c:cat>
          <c:val>
            <c:numRef>
              <c:f>Sheet1!$C$49:$C$57</c:f>
              <c:numCache>
                <c:formatCode>0.0</c:formatCode>
                <c:ptCount val="9"/>
                <c:pt idx="0">
                  <c:v>2</c:v>
                </c:pt>
                <c:pt idx="1">
                  <c:v>2.5</c:v>
                </c:pt>
                <c:pt idx="2">
                  <c:v>2.5</c:v>
                </c:pt>
                <c:pt idx="3">
                  <c:v>2</c:v>
                </c:pt>
                <c:pt idx="4">
                  <c:v>3.5</c:v>
                </c:pt>
                <c:pt idx="5">
                  <c:v>3</c:v>
                </c:pt>
                <c:pt idx="6">
                  <c:v>2</c:v>
                </c:pt>
                <c:pt idx="7">
                  <c:v>2</c:v>
                </c:pt>
                <c:pt idx="8">
                  <c:v>2.4375</c:v>
                </c:pt>
              </c:numCache>
            </c:numRef>
          </c:val>
          <c:extLst>
            <c:ext xmlns:c16="http://schemas.microsoft.com/office/drawing/2014/chart" uri="{C3380CC4-5D6E-409C-BE32-E72D297353CC}">
              <c16:uniqueId val="{00000001-5E67-4DE6-A2F3-5F9A8745E4B3}"/>
            </c:ext>
          </c:extLst>
        </c:ser>
        <c:dLbls>
          <c:showLegendKey val="0"/>
          <c:showVal val="1"/>
          <c:showCatName val="0"/>
          <c:showSerName val="0"/>
          <c:showPercent val="0"/>
          <c:showBubbleSize val="0"/>
        </c:dLbls>
        <c:gapWidth val="150"/>
        <c:overlap val="-25"/>
        <c:axId val="65320448"/>
        <c:axId val="65321984"/>
      </c:barChart>
      <c:catAx>
        <c:axId val="65320448"/>
        <c:scaling>
          <c:orientation val="minMax"/>
        </c:scaling>
        <c:delete val="0"/>
        <c:axPos val="b"/>
        <c:numFmt formatCode="General" sourceLinked="0"/>
        <c:majorTickMark val="none"/>
        <c:minorTickMark val="none"/>
        <c:tickLblPos val="nextTo"/>
        <c:txPr>
          <a:bodyPr/>
          <a:lstStyle/>
          <a:p>
            <a:pPr>
              <a:defRPr lang="ro-RO"/>
            </a:pPr>
            <a:endParaRPr lang="ro-RO"/>
          </a:p>
        </c:txPr>
        <c:crossAx val="65321984"/>
        <c:crosses val="autoZero"/>
        <c:auto val="1"/>
        <c:lblAlgn val="ctr"/>
        <c:lblOffset val="100"/>
        <c:noMultiLvlLbl val="0"/>
      </c:catAx>
      <c:valAx>
        <c:axId val="65321984"/>
        <c:scaling>
          <c:orientation val="minMax"/>
        </c:scaling>
        <c:delete val="1"/>
        <c:axPos val="l"/>
        <c:numFmt formatCode="0.0" sourceLinked="1"/>
        <c:majorTickMark val="out"/>
        <c:minorTickMark val="none"/>
        <c:tickLblPos val="none"/>
        <c:crossAx val="65320448"/>
        <c:crosses val="autoZero"/>
        <c:crossBetween val="between"/>
      </c:valAx>
    </c:plotArea>
    <c:legend>
      <c:legendPos val="t"/>
      <c:overlay val="0"/>
      <c:txPr>
        <a:bodyPr/>
        <a:lstStyle/>
        <a:p>
          <a:pPr>
            <a:defRPr lang="ro-RO"/>
          </a:pPr>
          <a:endParaRPr lang="ro-RO"/>
        </a:p>
      </c:txPr>
    </c:legend>
    <c:plotVisOnly val="1"/>
    <c:dispBlanksAs val="gap"/>
    <c:showDLblsOverMax val="0"/>
  </c:chart>
  <c:spPr>
    <a:solidFill>
      <a:schemeClr val="lt1"/>
    </a:solidFill>
    <a:ln w="25400" cap="flat" cmpd="sng" algn="ctr">
      <a:solidFill>
        <a:schemeClr val="accent6"/>
      </a:solidFill>
      <a:prstDash val="solid"/>
    </a:ln>
    <a:effectLst/>
  </c:spPr>
  <c:txPr>
    <a:bodyPr/>
    <a:lstStyle/>
    <a:p>
      <a:pPr>
        <a:defRPr>
          <a:solidFill>
            <a:schemeClr val="dk1"/>
          </a:solidFill>
          <a:latin typeface="+mn-lt"/>
          <a:ea typeface="+mn-ea"/>
          <a:cs typeface="+mn-cs"/>
        </a:defRPr>
      </a:pPr>
      <a:endParaRPr lang="ro-RO"/>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Sheet1!$B$68</c:f>
              <c:strCache>
                <c:ptCount val="1"/>
                <c:pt idx="0">
                  <c:v>Relevanta de Gen</c:v>
                </c:pt>
              </c:strCache>
            </c:strRef>
          </c:tx>
          <c:invertIfNegative val="0"/>
          <c:dLbls>
            <c:spPr>
              <a:noFill/>
              <a:ln>
                <a:noFill/>
              </a:ln>
              <a:effectLst/>
            </c:spPr>
            <c:txPr>
              <a:bodyPr/>
              <a:lstStyle/>
              <a:p>
                <a:pPr>
                  <a:defRPr lang="ro-RO"/>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Sheet1!$A$69:$A$77</c:f>
              <c:strCache>
                <c:ptCount val="9"/>
                <c:pt idx="0">
                  <c:v>Clasa VIII Lectia 1</c:v>
                </c:pt>
                <c:pt idx="1">
                  <c:v>Clasa VIII Lectia 2</c:v>
                </c:pt>
                <c:pt idx="2">
                  <c:v>Clasa VIII Lectia 3</c:v>
                </c:pt>
                <c:pt idx="3">
                  <c:v>Clasa VIII Lectia 4</c:v>
                </c:pt>
                <c:pt idx="4">
                  <c:v>Clasa VIII Lectia 5</c:v>
                </c:pt>
                <c:pt idx="5">
                  <c:v>Clasa VIII Lectia 6</c:v>
                </c:pt>
                <c:pt idx="6">
                  <c:v>Clasa VIII Lectia 7</c:v>
                </c:pt>
                <c:pt idx="7">
                  <c:v>Clasa VIII Lectia 8</c:v>
                </c:pt>
                <c:pt idx="8">
                  <c:v>MEDIA</c:v>
                </c:pt>
              </c:strCache>
            </c:strRef>
          </c:cat>
          <c:val>
            <c:numRef>
              <c:f>Sheet1!$B$69:$B$77</c:f>
              <c:numCache>
                <c:formatCode>0.0</c:formatCode>
                <c:ptCount val="9"/>
                <c:pt idx="0">
                  <c:v>2</c:v>
                </c:pt>
                <c:pt idx="1">
                  <c:v>3</c:v>
                </c:pt>
                <c:pt idx="2">
                  <c:v>3</c:v>
                </c:pt>
                <c:pt idx="3">
                  <c:v>2.5</c:v>
                </c:pt>
                <c:pt idx="4">
                  <c:v>2</c:v>
                </c:pt>
                <c:pt idx="5">
                  <c:v>2.5</c:v>
                </c:pt>
                <c:pt idx="6">
                  <c:v>2</c:v>
                </c:pt>
                <c:pt idx="7">
                  <c:v>2</c:v>
                </c:pt>
                <c:pt idx="8">
                  <c:v>2.3749999999999987</c:v>
                </c:pt>
              </c:numCache>
            </c:numRef>
          </c:val>
          <c:extLst>
            <c:ext xmlns:c16="http://schemas.microsoft.com/office/drawing/2014/chart" uri="{C3380CC4-5D6E-409C-BE32-E72D297353CC}">
              <c16:uniqueId val="{00000000-7E91-4F0B-89E6-EBD22CCC71B3}"/>
            </c:ext>
          </c:extLst>
        </c:ser>
        <c:ser>
          <c:idx val="1"/>
          <c:order val="1"/>
          <c:tx>
            <c:strRef>
              <c:f>Sheet1!$C$68</c:f>
              <c:strCache>
                <c:ptCount val="1"/>
                <c:pt idx="0">
                  <c:v>Integrarea Egalitatii de Gen</c:v>
                </c:pt>
              </c:strCache>
            </c:strRef>
          </c:tx>
          <c:invertIfNegative val="0"/>
          <c:dLbls>
            <c:spPr>
              <a:noFill/>
              <a:ln>
                <a:noFill/>
              </a:ln>
              <a:effectLst/>
            </c:spPr>
            <c:txPr>
              <a:bodyPr/>
              <a:lstStyle/>
              <a:p>
                <a:pPr>
                  <a:defRPr lang="ro-RO"/>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Sheet1!$A$69:$A$77</c:f>
              <c:strCache>
                <c:ptCount val="9"/>
                <c:pt idx="0">
                  <c:v>Clasa VIII Lectia 1</c:v>
                </c:pt>
                <c:pt idx="1">
                  <c:v>Clasa VIII Lectia 2</c:v>
                </c:pt>
                <c:pt idx="2">
                  <c:v>Clasa VIII Lectia 3</c:v>
                </c:pt>
                <c:pt idx="3">
                  <c:v>Clasa VIII Lectia 4</c:v>
                </c:pt>
                <c:pt idx="4">
                  <c:v>Clasa VIII Lectia 5</c:v>
                </c:pt>
                <c:pt idx="5">
                  <c:v>Clasa VIII Lectia 6</c:v>
                </c:pt>
                <c:pt idx="6">
                  <c:v>Clasa VIII Lectia 7</c:v>
                </c:pt>
                <c:pt idx="7">
                  <c:v>Clasa VIII Lectia 8</c:v>
                </c:pt>
                <c:pt idx="8">
                  <c:v>MEDIA</c:v>
                </c:pt>
              </c:strCache>
            </c:strRef>
          </c:cat>
          <c:val>
            <c:numRef>
              <c:f>Sheet1!$C$69:$C$77</c:f>
              <c:numCache>
                <c:formatCode>0.0</c:formatCode>
                <c:ptCount val="9"/>
                <c:pt idx="0">
                  <c:v>2</c:v>
                </c:pt>
                <c:pt idx="1">
                  <c:v>2.5</c:v>
                </c:pt>
                <c:pt idx="2">
                  <c:v>2.5</c:v>
                </c:pt>
                <c:pt idx="3">
                  <c:v>2.5</c:v>
                </c:pt>
                <c:pt idx="4">
                  <c:v>2</c:v>
                </c:pt>
                <c:pt idx="5">
                  <c:v>2</c:v>
                </c:pt>
                <c:pt idx="6">
                  <c:v>2</c:v>
                </c:pt>
                <c:pt idx="7">
                  <c:v>2</c:v>
                </c:pt>
                <c:pt idx="8">
                  <c:v>2.1875000000000013</c:v>
                </c:pt>
              </c:numCache>
            </c:numRef>
          </c:val>
          <c:extLst>
            <c:ext xmlns:c16="http://schemas.microsoft.com/office/drawing/2014/chart" uri="{C3380CC4-5D6E-409C-BE32-E72D297353CC}">
              <c16:uniqueId val="{00000001-7E91-4F0B-89E6-EBD22CCC71B3}"/>
            </c:ext>
          </c:extLst>
        </c:ser>
        <c:dLbls>
          <c:showLegendKey val="0"/>
          <c:showVal val="1"/>
          <c:showCatName val="0"/>
          <c:showSerName val="0"/>
          <c:showPercent val="0"/>
          <c:showBubbleSize val="0"/>
        </c:dLbls>
        <c:gapWidth val="150"/>
        <c:overlap val="-25"/>
        <c:axId val="62930944"/>
        <c:axId val="62932480"/>
      </c:barChart>
      <c:catAx>
        <c:axId val="62930944"/>
        <c:scaling>
          <c:orientation val="minMax"/>
        </c:scaling>
        <c:delete val="0"/>
        <c:axPos val="b"/>
        <c:numFmt formatCode="General" sourceLinked="0"/>
        <c:majorTickMark val="none"/>
        <c:minorTickMark val="none"/>
        <c:tickLblPos val="nextTo"/>
        <c:txPr>
          <a:bodyPr/>
          <a:lstStyle/>
          <a:p>
            <a:pPr>
              <a:defRPr lang="ro-RO"/>
            </a:pPr>
            <a:endParaRPr lang="ro-RO"/>
          </a:p>
        </c:txPr>
        <c:crossAx val="62932480"/>
        <c:crosses val="autoZero"/>
        <c:auto val="1"/>
        <c:lblAlgn val="ctr"/>
        <c:lblOffset val="100"/>
        <c:noMultiLvlLbl val="0"/>
      </c:catAx>
      <c:valAx>
        <c:axId val="62932480"/>
        <c:scaling>
          <c:orientation val="minMax"/>
        </c:scaling>
        <c:delete val="1"/>
        <c:axPos val="l"/>
        <c:numFmt formatCode="0.0" sourceLinked="1"/>
        <c:majorTickMark val="out"/>
        <c:minorTickMark val="none"/>
        <c:tickLblPos val="none"/>
        <c:crossAx val="62930944"/>
        <c:crosses val="autoZero"/>
        <c:crossBetween val="between"/>
      </c:valAx>
    </c:plotArea>
    <c:legend>
      <c:legendPos val="t"/>
      <c:overlay val="0"/>
      <c:txPr>
        <a:bodyPr/>
        <a:lstStyle/>
        <a:p>
          <a:pPr>
            <a:defRPr lang="ro-RO"/>
          </a:pPr>
          <a:endParaRPr lang="ro-RO"/>
        </a:p>
      </c:txPr>
    </c:legend>
    <c:plotVisOnly val="1"/>
    <c:dispBlanksAs val="gap"/>
    <c:showDLblsOverMax val="0"/>
  </c:chart>
  <c:spPr>
    <a:solidFill>
      <a:schemeClr val="lt1"/>
    </a:solidFill>
    <a:ln w="25400" cap="flat" cmpd="sng" algn="ctr">
      <a:solidFill>
        <a:schemeClr val="accent6"/>
      </a:solidFill>
      <a:prstDash val="solid"/>
    </a:ln>
    <a:effectLst/>
  </c:spPr>
  <c:txPr>
    <a:bodyPr/>
    <a:lstStyle/>
    <a:p>
      <a:pPr>
        <a:defRPr>
          <a:solidFill>
            <a:schemeClr val="dk1"/>
          </a:solidFill>
          <a:latin typeface="+mn-lt"/>
          <a:ea typeface="+mn-ea"/>
          <a:cs typeface="+mn-cs"/>
        </a:defRPr>
      </a:pPr>
      <a:endParaRPr lang="ro-RO"/>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Sheet1!$B$87</c:f>
              <c:strCache>
                <c:ptCount val="1"/>
                <c:pt idx="0">
                  <c:v>Relevanta de Gen</c:v>
                </c:pt>
              </c:strCache>
            </c:strRef>
          </c:tx>
          <c:invertIfNegative val="0"/>
          <c:dLbls>
            <c:spPr>
              <a:noFill/>
              <a:ln>
                <a:noFill/>
              </a:ln>
              <a:effectLst/>
            </c:spPr>
            <c:txPr>
              <a:bodyPr/>
              <a:lstStyle/>
              <a:p>
                <a:pPr>
                  <a:defRPr lang="ro-RO"/>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Sheet1!$A$88:$A$96</c:f>
              <c:strCache>
                <c:ptCount val="9"/>
                <c:pt idx="0">
                  <c:v>Clasa IX Lectia 1</c:v>
                </c:pt>
                <c:pt idx="1">
                  <c:v>Clasa IX Lectia 2</c:v>
                </c:pt>
                <c:pt idx="2">
                  <c:v>Clasa IX Lectia 3</c:v>
                </c:pt>
                <c:pt idx="3">
                  <c:v>Clasa IX Lectia 4</c:v>
                </c:pt>
                <c:pt idx="4">
                  <c:v>Clasa IX Lectia 5</c:v>
                </c:pt>
                <c:pt idx="5">
                  <c:v>Clasa IX Lectia 6</c:v>
                </c:pt>
                <c:pt idx="6">
                  <c:v>Clasa IX Lectia 7</c:v>
                </c:pt>
                <c:pt idx="7">
                  <c:v>Clasa IX Lectia 8</c:v>
                </c:pt>
                <c:pt idx="8">
                  <c:v>MEDIA</c:v>
                </c:pt>
              </c:strCache>
            </c:strRef>
          </c:cat>
          <c:val>
            <c:numRef>
              <c:f>Sheet1!$B$88:$B$96</c:f>
              <c:numCache>
                <c:formatCode>0.0</c:formatCode>
                <c:ptCount val="9"/>
                <c:pt idx="0">
                  <c:v>2</c:v>
                </c:pt>
                <c:pt idx="1">
                  <c:v>2.5</c:v>
                </c:pt>
                <c:pt idx="2">
                  <c:v>3</c:v>
                </c:pt>
                <c:pt idx="3">
                  <c:v>2.5</c:v>
                </c:pt>
                <c:pt idx="4">
                  <c:v>3.5</c:v>
                </c:pt>
                <c:pt idx="5">
                  <c:v>2</c:v>
                </c:pt>
                <c:pt idx="6">
                  <c:v>2</c:v>
                </c:pt>
                <c:pt idx="7">
                  <c:v>2.5</c:v>
                </c:pt>
                <c:pt idx="8">
                  <c:v>2.5</c:v>
                </c:pt>
              </c:numCache>
            </c:numRef>
          </c:val>
          <c:extLst>
            <c:ext xmlns:c16="http://schemas.microsoft.com/office/drawing/2014/chart" uri="{C3380CC4-5D6E-409C-BE32-E72D297353CC}">
              <c16:uniqueId val="{00000000-0434-46B2-9D4A-E30162691E2C}"/>
            </c:ext>
          </c:extLst>
        </c:ser>
        <c:ser>
          <c:idx val="1"/>
          <c:order val="1"/>
          <c:tx>
            <c:strRef>
              <c:f>Sheet1!$C$87</c:f>
              <c:strCache>
                <c:ptCount val="1"/>
                <c:pt idx="0">
                  <c:v>Integrarea Egalitatii de Gen</c:v>
                </c:pt>
              </c:strCache>
            </c:strRef>
          </c:tx>
          <c:invertIfNegative val="0"/>
          <c:dLbls>
            <c:spPr>
              <a:noFill/>
              <a:ln>
                <a:noFill/>
              </a:ln>
              <a:effectLst/>
            </c:spPr>
            <c:txPr>
              <a:bodyPr/>
              <a:lstStyle/>
              <a:p>
                <a:pPr>
                  <a:defRPr lang="ro-RO"/>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Sheet1!$A$88:$A$96</c:f>
              <c:strCache>
                <c:ptCount val="9"/>
                <c:pt idx="0">
                  <c:v>Clasa IX Lectia 1</c:v>
                </c:pt>
                <c:pt idx="1">
                  <c:v>Clasa IX Lectia 2</c:v>
                </c:pt>
                <c:pt idx="2">
                  <c:v>Clasa IX Lectia 3</c:v>
                </c:pt>
                <c:pt idx="3">
                  <c:v>Clasa IX Lectia 4</c:v>
                </c:pt>
                <c:pt idx="4">
                  <c:v>Clasa IX Lectia 5</c:v>
                </c:pt>
                <c:pt idx="5">
                  <c:v>Clasa IX Lectia 6</c:v>
                </c:pt>
                <c:pt idx="6">
                  <c:v>Clasa IX Lectia 7</c:v>
                </c:pt>
                <c:pt idx="7">
                  <c:v>Clasa IX Lectia 8</c:v>
                </c:pt>
                <c:pt idx="8">
                  <c:v>MEDIA</c:v>
                </c:pt>
              </c:strCache>
            </c:strRef>
          </c:cat>
          <c:val>
            <c:numRef>
              <c:f>Sheet1!$C$88:$C$96</c:f>
              <c:numCache>
                <c:formatCode>0.0</c:formatCode>
                <c:ptCount val="9"/>
                <c:pt idx="0">
                  <c:v>2</c:v>
                </c:pt>
                <c:pt idx="1">
                  <c:v>1.5</c:v>
                </c:pt>
                <c:pt idx="2">
                  <c:v>2.5</c:v>
                </c:pt>
                <c:pt idx="3">
                  <c:v>2.5</c:v>
                </c:pt>
                <c:pt idx="4">
                  <c:v>3.5</c:v>
                </c:pt>
                <c:pt idx="5">
                  <c:v>2</c:v>
                </c:pt>
                <c:pt idx="6">
                  <c:v>2</c:v>
                </c:pt>
                <c:pt idx="7">
                  <c:v>2.5</c:v>
                </c:pt>
                <c:pt idx="8">
                  <c:v>2.3124999999999982</c:v>
                </c:pt>
              </c:numCache>
            </c:numRef>
          </c:val>
          <c:extLst>
            <c:ext xmlns:c16="http://schemas.microsoft.com/office/drawing/2014/chart" uri="{C3380CC4-5D6E-409C-BE32-E72D297353CC}">
              <c16:uniqueId val="{00000001-0434-46B2-9D4A-E30162691E2C}"/>
            </c:ext>
          </c:extLst>
        </c:ser>
        <c:dLbls>
          <c:showLegendKey val="0"/>
          <c:showVal val="1"/>
          <c:showCatName val="0"/>
          <c:showSerName val="0"/>
          <c:showPercent val="0"/>
          <c:showBubbleSize val="0"/>
        </c:dLbls>
        <c:gapWidth val="150"/>
        <c:overlap val="-25"/>
        <c:axId val="62957824"/>
        <c:axId val="62967808"/>
      </c:barChart>
      <c:catAx>
        <c:axId val="62957824"/>
        <c:scaling>
          <c:orientation val="minMax"/>
        </c:scaling>
        <c:delete val="0"/>
        <c:axPos val="b"/>
        <c:numFmt formatCode="General" sourceLinked="0"/>
        <c:majorTickMark val="none"/>
        <c:minorTickMark val="none"/>
        <c:tickLblPos val="nextTo"/>
        <c:txPr>
          <a:bodyPr/>
          <a:lstStyle/>
          <a:p>
            <a:pPr>
              <a:defRPr lang="ro-RO"/>
            </a:pPr>
            <a:endParaRPr lang="ro-RO"/>
          </a:p>
        </c:txPr>
        <c:crossAx val="62967808"/>
        <c:crosses val="autoZero"/>
        <c:auto val="1"/>
        <c:lblAlgn val="ctr"/>
        <c:lblOffset val="100"/>
        <c:noMultiLvlLbl val="0"/>
      </c:catAx>
      <c:valAx>
        <c:axId val="62967808"/>
        <c:scaling>
          <c:orientation val="minMax"/>
        </c:scaling>
        <c:delete val="1"/>
        <c:axPos val="l"/>
        <c:numFmt formatCode="0.0" sourceLinked="1"/>
        <c:majorTickMark val="out"/>
        <c:minorTickMark val="none"/>
        <c:tickLblPos val="none"/>
        <c:crossAx val="62957824"/>
        <c:crosses val="autoZero"/>
        <c:crossBetween val="between"/>
      </c:valAx>
    </c:plotArea>
    <c:legend>
      <c:legendPos val="t"/>
      <c:overlay val="0"/>
      <c:txPr>
        <a:bodyPr/>
        <a:lstStyle/>
        <a:p>
          <a:pPr>
            <a:defRPr lang="ro-RO"/>
          </a:pPr>
          <a:endParaRPr lang="ro-RO"/>
        </a:p>
      </c:txPr>
    </c:legend>
    <c:plotVisOnly val="1"/>
    <c:dispBlanksAs val="gap"/>
    <c:showDLblsOverMax val="0"/>
  </c:chart>
  <c:spPr>
    <a:solidFill>
      <a:schemeClr val="lt1"/>
    </a:solidFill>
    <a:ln w="25400" cap="flat" cmpd="sng" algn="ctr">
      <a:solidFill>
        <a:schemeClr val="accent6"/>
      </a:solidFill>
      <a:prstDash val="solid"/>
    </a:ln>
    <a:effectLst/>
  </c:spPr>
  <c:txPr>
    <a:bodyPr/>
    <a:lstStyle/>
    <a:p>
      <a:pPr>
        <a:defRPr>
          <a:solidFill>
            <a:schemeClr val="dk1"/>
          </a:solidFill>
          <a:latin typeface="+mn-lt"/>
          <a:ea typeface="+mn-ea"/>
          <a:cs typeface="+mn-cs"/>
        </a:defRPr>
      </a:pPr>
      <a:endParaRPr lang="ro-RO"/>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Sheet1!$B$106</c:f>
              <c:strCache>
                <c:ptCount val="1"/>
                <c:pt idx="0">
                  <c:v>Relevanta de Gen</c:v>
                </c:pt>
              </c:strCache>
            </c:strRef>
          </c:tx>
          <c:invertIfNegative val="0"/>
          <c:dLbls>
            <c:spPr>
              <a:noFill/>
              <a:ln>
                <a:noFill/>
              </a:ln>
              <a:effectLst/>
            </c:spPr>
            <c:txPr>
              <a:bodyPr/>
              <a:lstStyle/>
              <a:p>
                <a:pPr>
                  <a:defRPr lang="ro-RO"/>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Sheet1!$A$107:$A$115</c:f>
              <c:strCache>
                <c:ptCount val="9"/>
                <c:pt idx="0">
                  <c:v>Clasa X Lectia 1</c:v>
                </c:pt>
                <c:pt idx="1">
                  <c:v>Clasa X Lectia 2</c:v>
                </c:pt>
                <c:pt idx="2">
                  <c:v>Clasa X Lectia 3</c:v>
                </c:pt>
                <c:pt idx="3">
                  <c:v>Clasa X Lectia 4</c:v>
                </c:pt>
                <c:pt idx="4">
                  <c:v>Clasa X Lectia 5</c:v>
                </c:pt>
                <c:pt idx="5">
                  <c:v>Clasa X Lectia 6</c:v>
                </c:pt>
                <c:pt idx="6">
                  <c:v>Clasa X Lectia 7</c:v>
                </c:pt>
                <c:pt idx="7">
                  <c:v>Clasa X Lectia 8</c:v>
                </c:pt>
                <c:pt idx="8">
                  <c:v>MEDIA</c:v>
                </c:pt>
              </c:strCache>
            </c:strRef>
          </c:cat>
          <c:val>
            <c:numRef>
              <c:f>Sheet1!$B$107:$B$115</c:f>
              <c:numCache>
                <c:formatCode>0.0</c:formatCode>
                <c:ptCount val="9"/>
                <c:pt idx="0">
                  <c:v>2.5</c:v>
                </c:pt>
                <c:pt idx="1">
                  <c:v>3</c:v>
                </c:pt>
                <c:pt idx="2">
                  <c:v>2</c:v>
                </c:pt>
                <c:pt idx="3">
                  <c:v>2.5</c:v>
                </c:pt>
                <c:pt idx="4">
                  <c:v>2</c:v>
                </c:pt>
                <c:pt idx="5">
                  <c:v>2.5</c:v>
                </c:pt>
                <c:pt idx="6">
                  <c:v>2</c:v>
                </c:pt>
                <c:pt idx="7">
                  <c:v>2</c:v>
                </c:pt>
                <c:pt idx="8">
                  <c:v>2.3124999999999982</c:v>
                </c:pt>
              </c:numCache>
            </c:numRef>
          </c:val>
          <c:extLst>
            <c:ext xmlns:c16="http://schemas.microsoft.com/office/drawing/2014/chart" uri="{C3380CC4-5D6E-409C-BE32-E72D297353CC}">
              <c16:uniqueId val="{00000000-BA30-4070-A823-31623CC2C5BE}"/>
            </c:ext>
          </c:extLst>
        </c:ser>
        <c:ser>
          <c:idx val="1"/>
          <c:order val="1"/>
          <c:tx>
            <c:strRef>
              <c:f>Sheet1!$C$106</c:f>
              <c:strCache>
                <c:ptCount val="1"/>
                <c:pt idx="0">
                  <c:v>Integrarea Egalitatii de Gen</c:v>
                </c:pt>
              </c:strCache>
            </c:strRef>
          </c:tx>
          <c:invertIfNegative val="0"/>
          <c:dLbls>
            <c:spPr>
              <a:noFill/>
              <a:ln>
                <a:noFill/>
              </a:ln>
              <a:effectLst/>
            </c:spPr>
            <c:txPr>
              <a:bodyPr/>
              <a:lstStyle/>
              <a:p>
                <a:pPr>
                  <a:defRPr lang="ro-RO"/>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Sheet1!$A$107:$A$115</c:f>
              <c:strCache>
                <c:ptCount val="9"/>
                <c:pt idx="0">
                  <c:v>Clasa X Lectia 1</c:v>
                </c:pt>
                <c:pt idx="1">
                  <c:v>Clasa X Lectia 2</c:v>
                </c:pt>
                <c:pt idx="2">
                  <c:v>Clasa X Lectia 3</c:v>
                </c:pt>
                <c:pt idx="3">
                  <c:v>Clasa X Lectia 4</c:v>
                </c:pt>
                <c:pt idx="4">
                  <c:v>Clasa X Lectia 5</c:v>
                </c:pt>
                <c:pt idx="5">
                  <c:v>Clasa X Lectia 6</c:v>
                </c:pt>
                <c:pt idx="6">
                  <c:v>Clasa X Lectia 7</c:v>
                </c:pt>
                <c:pt idx="7">
                  <c:v>Clasa X Lectia 8</c:v>
                </c:pt>
                <c:pt idx="8">
                  <c:v>MEDIA</c:v>
                </c:pt>
              </c:strCache>
            </c:strRef>
          </c:cat>
          <c:val>
            <c:numRef>
              <c:f>Sheet1!$C$107:$C$115</c:f>
              <c:numCache>
                <c:formatCode>0.0</c:formatCode>
                <c:ptCount val="9"/>
                <c:pt idx="0">
                  <c:v>2.5</c:v>
                </c:pt>
                <c:pt idx="1">
                  <c:v>2</c:v>
                </c:pt>
                <c:pt idx="2">
                  <c:v>2</c:v>
                </c:pt>
                <c:pt idx="3">
                  <c:v>2</c:v>
                </c:pt>
                <c:pt idx="4">
                  <c:v>2</c:v>
                </c:pt>
                <c:pt idx="5">
                  <c:v>2.5</c:v>
                </c:pt>
                <c:pt idx="6">
                  <c:v>2</c:v>
                </c:pt>
                <c:pt idx="7">
                  <c:v>2</c:v>
                </c:pt>
                <c:pt idx="8">
                  <c:v>2.125</c:v>
                </c:pt>
              </c:numCache>
            </c:numRef>
          </c:val>
          <c:extLst>
            <c:ext xmlns:c16="http://schemas.microsoft.com/office/drawing/2014/chart" uri="{C3380CC4-5D6E-409C-BE32-E72D297353CC}">
              <c16:uniqueId val="{00000001-BA30-4070-A823-31623CC2C5BE}"/>
            </c:ext>
          </c:extLst>
        </c:ser>
        <c:dLbls>
          <c:showLegendKey val="0"/>
          <c:showVal val="1"/>
          <c:showCatName val="0"/>
          <c:showSerName val="0"/>
          <c:showPercent val="0"/>
          <c:showBubbleSize val="0"/>
        </c:dLbls>
        <c:gapWidth val="150"/>
        <c:overlap val="-25"/>
        <c:axId val="65434368"/>
        <c:axId val="65435904"/>
      </c:barChart>
      <c:catAx>
        <c:axId val="65434368"/>
        <c:scaling>
          <c:orientation val="minMax"/>
        </c:scaling>
        <c:delete val="0"/>
        <c:axPos val="b"/>
        <c:numFmt formatCode="General" sourceLinked="0"/>
        <c:majorTickMark val="none"/>
        <c:minorTickMark val="none"/>
        <c:tickLblPos val="nextTo"/>
        <c:txPr>
          <a:bodyPr/>
          <a:lstStyle/>
          <a:p>
            <a:pPr>
              <a:defRPr lang="ro-RO"/>
            </a:pPr>
            <a:endParaRPr lang="ro-RO"/>
          </a:p>
        </c:txPr>
        <c:crossAx val="65435904"/>
        <c:crosses val="autoZero"/>
        <c:auto val="1"/>
        <c:lblAlgn val="ctr"/>
        <c:lblOffset val="100"/>
        <c:noMultiLvlLbl val="0"/>
      </c:catAx>
      <c:valAx>
        <c:axId val="65435904"/>
        <c:scaling>
          <c:orientation val="minMax"/>
        </c:scaling>
        <c:delete val="1"/>
        <c:axPos val="l"/>
        <c:numFmt formatCode="0.0" sourceLinked="1"/>
        <c:majorTickMark val="out"/>
        <c:minorTickMark val="none"/>
        <c:tickLblPos val="none"/>
        <c:crossAx val="65434368"/>
        <c:crosses val="autoZero"/>
        <c:crossBetween val="between"/>
      </c:valAx>
    </c:plotArea>
    <c:legend>
      <c:legendPos val="t"/>
      <c:overlay val="0"/>
      <c:txPr>
        <a:bodyPr/>
        <a:lstStyle/>
        <a:p>
          <a:pPr>
            <a:defRPr lang="ro-RO"/>
          </a:pPr>
          <a:endParaRPr lang="ro-RO"/>
        </a:p>
      </c:txPr>
    </c:legend>
    <c:plotVisOnly val="1"/>
    <c:dispBlanksAs val="gap"/>
    <c:showDLblsOverMax val="0"/>
  </c:chart>
  <c:spPr>
    <a:solidFill>
      <a:schemeClr val="lt1"/>
    </a:solidFill>
    <a:ln w="25400" cap="flat" cmpd="sng" algn="ctr">
      <a:solidFill>
        <a:schemeClr val="accent6"/>
      </a:solidFill>
      <a:prstDash val="solid"/>
    </a:ln>
    <a:effectLst/>
  </c:spPr>
  <c:txPr>
    <a:bodyPr/>
    <a:lstStyle/>
    <a:p>
      <a:pPr>
        <a:defRPr>
          <a:solidFill>
            <a:schemeClr val="dk1"/>
          </a:solidFill>
          <a:latin typeface="+mn-lt"/>
          <a:ea typeface="+mn-ea"/>
          <a:cs typeface="+mn-cs"/>
        </a:defRPr>
      </a:pPr>
      <a:endParaRPr lang="ro-RO"/>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Sheet1!$B$124</c:f>
              <c:strCache>
                <c:ptCount val="1"/>
                <c:pt idx="0">
                  <c:v>Relevanta de Gen</c:v>
                </c:pt>
              </c:strCache>
            </c:strRef>
          </c:tx>
          <c:invertIfNegative val="0"/>
          <c:dLbls>
            <c:spPr>
              <a:noFill/>
              <a:ln>
                <a:noFill/>
              </a:ln>
              <a:effectLst/>
            </c:spPr>
            <c:txPr>
              <a:bodyPr/>
              <a:lstStyle/>
              <a:p>
                <a:pPr>
                  <a:defRPr lang="ro-RO"/>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Sheet1!$A$125:$A$134</c:f>
              <c:strCache>
                <c:ptCount val="10"/>
                <c:pt idx="0">
                  <c:v>Clasa XI Lectia 1</c:v>
                </c:pt>
                <c:pt idx="1">
                  <c:v>Clasa XI Lectia 2</c:v>
                </c:pt>
                <c:pt idx="2">
                  <c:v>Clasa XI Lectia 3</c:v>
                </c:pt>
                <c:pt idx="3">
                  <c:v>Clasa XI Lectia 4</c:v>
                </c:pt>
                <c:pt idx="4">
                  <c:v>Clasa XI Lectia 5</c:v>
                </c:pt>
                <c:pt idx="5">
                  <c:v>Clasa XI Lectia 6</c:v>
                </c:pt>
                <c:pt idx="6">
                  <c:v>Clasa XI Lectia 7</c:v>
                </c:pt>
                <c:pt idx="7">
                  <c:v>Clasa XI Lectia 8</c:v>
                </c:pt>
                <c:pt idx="8">
                  <c:v>Clasa XI Lectia 9</c:v>
                </c:pt>
                <c:pt idx="9">
                  <c:v>MEDIA</c:v>
                </c:pt>
              </c:strCache>
            </c:strRef>
          </c:cat>
          <c:val>
            <c:numRef>
              <c:f>Sheet1!$B$125:$B$134</c:f>
              <c:numCache>
                <c:formatCode>0.0</c:formatCode>
                <c:ptCount val="10"/>
                <c:pt idx="0">
                  <c:v>3</c:v>
                </c:pt>
                <c:pt idx="1">
                  <c:v>3</c:v>
                </c:pt>
                <c:pt idx="2">
                  <c:v>2</c:v>
                </c:pt>
                <c:pt idx="3">
                  <c:v>2.5</c:v>
                </c:pt>
                <c:pt idx="4">
                  <c:v>3</c:v>
                </c:pt>
                <c:pt idx="5">
                  <c:v>3</c:v>
                </c:pt>
                <c:pt idx="6">
                  <c:v>3</c:v>
                </c:pt>
                <c:pt idx="7">
                  <c:v>2.5</c:v>
                </c:pt>
                <c:pt idx="8">
                  <c:v>2</c:v>
                </c:pt>
                <c:pt idx="9">
                  <c:v>2.6666666666666665</c:v>
                </c:pt>
              </c:numCache>
            </c:numRef>
          </c:val>
          <c:extLst>
            <c:ext xmlns:c16="http://schemas.microsoft.com/office/drawing/2014/chart" uri="{C3380CC4-5D6E-409C-BE32-E72D297353CC}">
              <c16:uniqueId val="{00000000-ABA1-4176-BBF2-EE31B8A8EC50}"/>
            </c:ext>
          </c:extLst>
        </c:ser>
        <c:ser>
          <c:idx val="1"/>
          <c:order val="1"/>
          <c:tx>
            <c:strRef>
              <c:f>Sheet1!$C$124</c:f>
              <c:strCache>
                <c:ptCount val="1"/>
                <c:pt idx="0">
                  <c:v>Integrarea Egalitatii de Gen</c:v>
                </c:pt>
              </c:strCache>
            </c:strRef>
          </c:tx>
          <c:invertIfNegative val="0"/>
          <c:dLbls>
            <c:spPr>
              <a:noFill/>
              <a:ln>
                <a:noFill/>
              </a:ln>
              <a:effectLst/>
            </c:spPr>
            <c:txPr>
              <a:bodyPr/>
              <a:lstStyle/>
              <a:p>
                <a:pPr>
                  <a:defRPr lang="ro-RO"/>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Sheet1!$A$125:$A$134</c:f>
              <c:strCache>
                <c:ptCount val="10"/>
                <c:pt idx="0">
                  <c:v>Clasa XI Lectia 1</c:v>
                </c:pt>
                <c:pt idx="1">
                  <c:v>Clasa XI Lectia 2</c:v>
                </c:pt>
                <c:pt idx="2">
                  <c:v>Clasa XI Lectia 3</c:v>
                </c:pt>
                <c:pt idx="3">
                  <c:v>Clasa XI Lectia 4</c:v>
                </c:pt>
                <c:pt idx="4">
                  <c:v>Clasa XI Lectia 5</c:v>
                </c:pt>
                <c:pt idx="5">
                  <c:v>Clasa XI Lectia 6</c:v>
                </c:pt>
                <c:pt idx="6">
                  <c:v>Clasa XI Lectia 7</c:v>
                </c:pt>
                <c:pt idx="7">
                  <c:v>Clasa XI Lectia 8</c:v>
                </c:pt>
                <c:pt idx="8">
                  <c:v>Clasa XI Lectia 9</c:v>
                </c:pt>
                <c:pt idx="9">
                  <c:v>MEDIA</c:v>
                </c:pt>
              </c:strCache>
            </c:strRef>
          </c:cat>
          <c:val>
            <c:numRef>
              <c:f>Sheet1!$C$125:$C$134</c:f>
              <c:numCache>
                <c:formatCode>0.0</c:formatCode>
                <c:ptCount val="10"/>
                <c:pt idx="0">
                  <c:v>2.5</c:v>
                </c:pt>
                <c:pt idx="1">
                  <c:v>2.5</c:v>
                </c:pt>
                <c:pt idx="2">
                  <c:v>2</c:v>
                </c:pt>
                <c:pt idx="3">
                  <c:v>2.5</c:v>
                </c:pt>
                <c:pt idx="4">
                  <c:v>3</c:v>
                </c:pt>
                <c:pt idx="5">
                  <c:v>2</c:v>
                </c:pt>
                <c:pt idx="6">
                  <c:v>2</c:v>
                </c:pt>
                <c:pt idx="7">
                  <c:v>2.5</c:v>
                </c:pt>
                <c:pt idx="8">
                  <c:v>2</c:v>
                </c:pt>
                <c:pt idx="9">
                  <c:v>2.3333333333333335</c:v>
                </c:pt>
              </c:numCache>
            </c:numRef>
          </c:val>
          <c:extLst>
            <c:ext xmlns:c16="http://schemas.microsoft.com/office/drawing/2014/chart" uri="{C3380CC4-5D6E-409C-BE32-E72D297353CC}">
              <c16:uniqueId val="{00000001-ABA1-4176-BBF2-EE31B8A8EC50}"/>
            </c:ext>
          </c:extLst>
        </c:ser>
        <c:dLbls>
          <c:showLegendKey val="0"/>
          <c:showVal val="1"/>
          <c:showCatName val="0"/>
          <c:showSerName val="0"/>
          <c:showPercent val="0"/>
          <c:showBubbleSize val="0"/>
        </c:dLbls>
        <c:gapWidth val="150"/>
        <c:overlap val="-25"/>
        <c:axId val="65461248"/>
        <c:axId val="65467136"/>
      </c:barChart>
      <c:catAx>
        <c:axId val="65461248"/>
        <c:scaling>
          <c:orientation val="minMax"/>
        </c:scaling>
        <c:delete val="0"/>
        <c:axPos val="b"/>
        <c:numFmt formatCode="General" sourceLinked="0"/>
        <c:majorTickMark val="none"/>
        <c:minorTickMark val="none"/>
        <c:tickLblPos val="nextTo"/>
        <c:txPr>
          <a:bodyPr/>
          <a:lstStyle/>
          <a:p>
            <a:pPr>
              <a:defRPr lang="ro-RO"/>
            </a:pPr>
            <a:endParaRPr lang="ro-RO"/>
          </a:p>
        </c:txPr>
        <c:crossAx val="65467136"/>
        <c:crosses val="autoZero"/>
        <c:auto val="1"/>
        <c:lblAlgn val="ctr"/>
        <c:lblOffset val="100"/>
        <c:noMultiLvlLbl val="0"/>
      </c:catAx>
      <c:valAx>
        <c:axId val="65467136"/>
        <c:scaling>
          <c:orientation val="minMax"/>
        </c:scaling>
        <c:delete val="1"/>
        <c:axPos val="l"/>
        <c:numFmt formatCode="0.0" sourceLinked="1"/>
        <c:majorTickMark val="out"/>
        <c:minorTickMark val="none"/>
        <c:tickLblPos val="none"/>
        <c:crossAx val="65461248"/>
        <c:crosses val="autoZero"/>
        <c:crossBetween val="between"/>
      </c:valAx>
    </c:plotArea>
    <c:legend>
      <c:legendPos val="t"/>
      <c:overlay val="0"/>
      <c:txPr>
        <a:bodyPr/>
        <a:lstStyle/>
        <a:p>
          <a:pPr>
            <a:defRPr lang="ro-RO"/>
          </a:pPr>
          <a:endParaRPr lang="ro-RO"/>
        </a:p>
      </c:txPr>
    </c:legend>
    <c:plotVisOnly val="1"/>
    <c:dispBlanksAs val="gap"/>
    <c:showDLblsOverMax val="0"/>
  </c:chart>
  <c:spPr>
    <a:solidFill>
      <a:schemeClr val="lt1"/>
    </a:solidFill>
    <a:ln w="25400" cap="flat" cmpd="sng" algn="ctr">
      <a:solidFill>
        <a:schemeClr val="accent6"/>
      </a:solidFill>
      <a:prstDash val="solid"/>
    </a:ln>
    <a:effectLst/>
  </c:spPr>
  <c:txPr>
    <a:bodyPr/>
    <a:lstStyle/>
    <a:p>
      <a:pPr>
        <a:defRPr>
          <a:solidFill>
            <a:schemeClr val="dk1"/>
          </a:solidFill>
          <a:latin typeface="+mn-lt"/>
          <a:ea typeface="+mn-ea"/>
          <a:cs typeface="+mn-cs"/>
        </a:defRPr>
      </a:pPr>
      <a:endParaRPr lang="ro-RO"/>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Sheet1!$B$141</c:f>
              <c:strCache>
                <c:ptCount val="1"/>
                <c:pt idx="0">
                  <c:v>Relevanta de Gen</c:v>
                </c:pt>
              </c:strCache>
            </c:strRef>
          </c:tx>
          <c:invertIfNegative val="0"/>
          <c:dLbls>
            <c:spPr>
              <a:noFill/>
              <a:ln>
                <a:noFill/>
              </a:ln>
              <a:effectLst/>
            </c:spPr>
            <c:txPr>
              <a:bodyPr/>
              <a:lstStyle/>
              <a:p>
                <a:pPr>
                  <a:defRPr lang="ro-RO"/>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Sheet1!$A$142:$A$151</c:f>
              <c:strCache>
                <c:ptCount val="10"/>
                <c:pt idx="0">
                  <c:v>Clasa XII Lectia 1</c:v>
                </c:pt>
                <c:pt idx="1">
                  <c:v>Clasa XII Lectia 2</c:v>
                </c:pt>
                <c:pt idx="2">
                  <c:v>Clasa XII Lectia 3</c:v>
                </c:pt>
                <c:pt idx="3">
                  <c:v>Clasa XII Lectia 4</c:v>
                </c:pt>
                <c:pt idx="4">
                  <c:v>Clasa XII Lectia 5</c:v>
                </c:pt>
                <c:pt idx="5">
                  <c:v>Clasa XII Lectia 6</c:v>
                </c:pt>
                <c:pt idx="6">
                  <c:v>Clasa XII Lectia 7</c:v>
                </c:pt>
                <c:pt idx="7">
                  <c:v>Clasa XII Lectia 8</c:v>
                </c:pt>
                <c:pt idx="8">
                  <c:v>Clasa XII Lectia 9</c:v>
                </c:pt>
                <c:pt idx="9">
                  <c:v>MEDIA</c:v>
                </c:pt>
              </c:strCache>
            </c:strRef>
          </c:cat>
          <c:val>
            <c:numRef>
              <c:f>Sheet1!$B$142:$B$151</c:f>
              <c:numCache>
                <c:formatCode>0.0</c:formatCode>
                <c:ptCount val="10"/>
                <c:pt idx="0">
                  <c:v>1.5</c:v>
                </c:pt>
                <c:pt idx="1">
                  <c:v>2</c:v>
                </c:pt>
                <c:pt idx="2">
                  <c:v>2</c:v>
                </c:pt>
                <c:pt idx="3">
                  <c:v>3</c:v>
                </c:pt>
                <c:pt idx="4">
                  <c:v>3.5</c:v>
                </c:pt>
                <c:pt idx="5">
                  <c:v>3</c:v>
                </c:pt>
                <c:pt idx="6">
                  <c:v>3.5</c:v>
                </c:pt>
                <c:pt idx="7">
                  <c:v>2.5</c:v>
                </c:pt>
                <c:pt idx="8">
                  <c:v>2</c:v>
                </c:pt>
                <c:pt idx="9">
                  <c:v>2.5555555555555554</c:v>
                </c:pt>
              </c:numCache>
            </c:numRef>
          </c:val>
          <c:extLst>
            <c:ext xmlns:c16="http://schemas.microsoft.com/office/drawing/2014/chart" uri="{C3380CC4-5D6E-409C-BE32-E72D297353CC}">
              <c16:uniqueId val="{00000000-6C71-402B-9042-B207CD5BC1F1}"/>
            </c:ext>
          </c:extLst>
        </c:ser>
        <c:ser>
          <c:idx val="1"/>
          <c:order val="1"/>
          <c:tx>
            <c:strRef>
              <c:f>Sheet1!$C$141</c:f>
              <c:strCache>
                <c:ptCount val="1"/>
                <c:pt idx="0">
                  <c:v>Integrarea Egalitatii de Gen</c:v>
                </c:pt>
              </c:strCache>
            </c:strRef>
          </c:tx>
          <c:invertIfNegative val="0"/>
          <c:dLbls>
            <c:spPr>
              <a:noFill/>
              <a:ln>
                <a:noFill/>
              </a:ln>
              <a:effectLst/>
            </c:spPr>
            <c:txPr>
              <a:bodyPr/>
              <a:lstStyle/>
              <a:p>
                <a:pPr>
                  <a:defRPr lang="ro-RO"/>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Sheet1!$A$142:$A$151</c:f>
              <c:strCache>
                <c:ptCount val="10"/>
                <c:pt idx="0">
                  <c:v>Clasa XII Lectia 1</c:v>
                </c:pt>
                <c:pt idx="1">
                  <c:v>Clasa XII Lectia 2</c:v>
                </c:pt>
                <c:pt idx="2">
                  <c:v>Clasa XII Lectia 3</c:v>
                </c:pt>
                <c:pt idx="3">
                  <c:v>Clasa XII Lectia 4</c:v>
                </c:pt>
                <c:pt idx="4">
                  <c:v>Clasa XII Lectia 5</c:v>
                </c:pt>
                <c:pt idx="5">
                  <c:v>Clasa XII Lectia 6</c:v>
                </c:pt>
                <c:pt idx="6">
                  <c:v>Clasa XII Lectia 7</c:v>
                </c:pt>
                <c:pt idx="7">
                  <c:v>Clasa XII Lectia 8</c:v>
                </c:pt>
                <c:pt idx="8">
                  <c:v>Clasa XII Lectia 9</c:v>
                </c:pt>
                <c:pt idx="9">
                  <c:v>MEDIA</c:v>
                </c:pt>
              </c:strCache>
            </c:strRef>
          </c:cat>
          <c:val>
            <c:numRef>
              <c:f>Sheet1!$C$142:$C$151</c:f>
              <c:numCache>
                <c:formatCode>0.0</c:formatCode>
                <c:ptCount val="10"/>
                <c:pt idx="0">
                  <c:v>1.5</c:v>
                </c:pt>
                <c:pt idx="1">
                  <c:v>2</c:v>
                </c:pt>
                <c:pt idx="2">
                  <c:v>2</c:v>
                </c:pt>
                <c:pt idx="3">
                  <c:v>3</c:v>
                </c:pt>
                <c:pt idx="4">
                  <c:v>3.5</c:v>
                </c:pt>
                <c:pt idx="5">
                  <c:v>2</c:v>
                </c:pt>
                <c:pt idx="6">
                  <c:v>3</c:v>
                </c:pt>
                <c:pt idx="7">
                  <c:v>2</c:v>
                </c:pt>
                <c:pt idx="8">
                  <c:v>2</c:v>
                </c:pt>
                <c:pt idx="9">
                  <c:v>2.3333333333333335</c:v>
                </c:pt>
              </c:numCache>
            </c:numRef>
          </c:val>
          <c:extLst>
            <c:ext xmlns:c16="http://schemas.microsoft.com/office/drawing/2014/chart" uri="{C3380CC4-5D6E-409C-BE32-E72D297353CC}">
              <c16:uniqueId val="{00000001-6C71-402B-9042-B207CD5BC1F1}"/>
            </c:ext>
          </c:extLst>
        </c:ser>
        <c:dLbls>
          <c:showLegendKey val="0"/>
          <c:showVal val="1"/>
          <c:showCatName val="0"/>
          <c:showSerName val="0"/>
          <c:showPercent val="0"/>
          <c:showBubbleSize val="0"/>
        </c:dLbls>
        <c:gapWidth val="150"/>
        <c:overlap val="-25"/>
        <c:axId val="62993920"/>
        <c:axId val="62995456"/>
      </c:barChart>
      <c:catAx>
        <c:axId val="62993920"/>
        <c:scaling>
          <c:orientation val="minMax"/>
        </c:scaling>
        <c:delete val="0"/>
        <c:axPos val="b"/>
        <c:numFmt formatCode="General" sourceLinked="0"/>
        <c:majorTickMark val="none"/>
        <c:minorTickMark val="none"/>
        <c:tickLblPos val="nextTo"/>
        <c:txPr>
          <a:bodyPr/>
          <a:lstStyle/>
          <a:p>
            <a:pPr>
              <a:defRPr lang="ro-RO"/>
            </a:pPr>
            <a:endParaRPr lang="ro-RO"/>
          </a:p>
        </c:txPr>
        <c:crossAx val="62995456"/>
        <c:crosses val="autoZero"/>
        <c:auto val="1"/>
        <c:lblAlgn val="ctr"/>
        <c:lblOffset val="100"/>
        <c:noMultiLvlLbl val="0"/>
      </c:catAx>
      <c:valAx>
        <c:axId val="62995456"/>
        <c:scaling>
          <c:orientation val="minMax"/>
        </c:scaling>
        <c:delete val="1"/>
        <c:axPos val="l"/>
        <c:numFmt formatCode="0.0" sourceLinked="1"/>
        <c:majorTickMark val="out"/>
        <c:minorTickMark val="none"/>
        <c:tickLblPos val="none"/>
        <c:crossAx val="62993920"/>
        <c:crosses val="autoZero"/>
        <c:crossBetween val="between"/>
      </c:valAx>
    </c:plotArea>
    <c:legend>
      <c:legendPos val="t"/>
      <c:overlay val="0"/>
      <c:txPr>
        <a:bodyPr/>
        <a:lstStyle/>
        <a:p>
          <a:pPr>
            <a:defRPr lang="ro-RO"/>
          </a:pPr>
          <a:endParaRPr lang="ro-RO"/>
        </a:p>
      </c:txPr>
    </c:legend>
    <c:plotVisOnly val="1"/>
    <c:dispBlanksAs val="gap"/>
    <c:showDLblsOverMax val="0"/>
  </c:chart>
  <c:spPr>
    <a:solidFill>
      <a:schemeClr val="lt1"/>
    </a:solidFill>
    <a:ln w="25400" cap="flat" cmpd="sng" algn="ctr">
      <a:solidFill>
        <a:schemeClr val="accent6"/>
      </a:solidFill>
      <a:prstDash val="solid"/>
    </a:ln>
    <a:effectLst/>
  </c:spPr>
  <c:txPr>
    <a:bodyPr/>
    <a:lstStyle/>
    <a:p>
      <a:pPr>
        <a:defRPr>
          <a:solidFill>
            <a:schemeClr val="dk1"/>
          </a:solidFill>
          <a:latin typeface="+mn-lt"/>
          <a:ea typeface="+mn-ea"/>
          <a:cs typeface="+mn-cs"/>
        </a:defRPr>
      </a:pPr>
      <a:endParaRPr lang="ro-RO"/>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Sheet1!$B$159</c:f>
              <c:strCache>
                <c:ptCount val="1"/>
                <c:pt idx="0">
                  <c:v>Relevanta de Gen</c:v>
                </c:pt>
              </c:strCache>
            </c:strRef>
          </c:tx>
          <c:invertIfNegative val="0"/>
          <c:dLbls>
            <c:spPr>
              <a:noFill/>
              <a:ln>
                <a:noFill/>
              </a:ln>
              <a:effectLst/>
            </c:spPr>
            <c:txPr>
              <a:bodyPr/>
              <a:lstStyle/>
              <a:p>
                <a:pPr>
                  <a:defRPr lang="ro-RO"/>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Sheet1!$A$160:$A$171</c:f>
              <c:strCache>
                <c:ptCount val="12"/>
                <c:pt idx="0">
                  <c:v>Lectia 1</c:v>
                </c:pt>
                <c:pt idx="1">
                  <c:v>Lectia 2</c:v>
                </c:pt>
                <c:pt idx="2">
                  <c:v>Lectia 3</c:v>
                </c:pt>
                <c:pt idx="3">
                  <c:v>Lectia 4</c:v>
                </c:pt>
                <c:pt idx="4">
                  <c:v>Lectia 5</c:v>
                </c:pt>
                <c:pt idx="5">
                  <c:v>Lectia 6</c:v>
                </c:pt>
                <c:pt idx="6">
                  <c:v>Lectia 7</c:v>
                </c:pt>
                <c:pt idx="7">
                  <c:v>Lectia 8</c:v>
                </c:pt>
                <c:pt idx="8">
                  <c:v>Lectia 9</c:v>
                </c:pt>
                <c:pt idx="9">
                  <c:v>Lectia 10</c:v>
                </c:pt>
                <c:pt idx="10">
                  <c:v>Lectia 11-12</c:v>
                </c:pt>
                <c:pt idx="11">
                  <c:v>MEDIA</c:v>
                </c:pt>
              </c:strCache>
            </c:strRef>
          </c:cat>
          <c:val>
            <c:numRef>
              <c:f>Sheet1!$B$160:$B$171</c:f>
              <c:numCache>
                <c:formatCode>0.0</c:formatCode>
                <c:ptCount val="12"/>
                <c:pt idx="0">
                  <c:v>2</c:v>
                </c:pt>
                <c:pt idx="1">
                  <c:v>2.5</c:v>
                </c:pt>
                <c:pt idx="2">
                  <c:v>2.5</c:v>
                </c:pt>
                <c:pt idx="3">
                  <c:v>3</c:v>
                </c:pt>
                <c:pt idx="4">
                  <c:v>3</c:v>
                </c:pt>
                <c:pt idx="5">
                  <c:v>3</c:v>
                </c:pt>
                <c:pt idx="6">
                  <c:v>2</c:v>
                </c:pt>
                <c:pt idx="7">
                  <c:v>3</c:v>
                </c:pt>
                <c:pt idx="8">
                  <c:v>3</c:v>
                </c:pt>
                <c:pt idx="9">
                  <c:v>2</c:v>
                </c:pt>
                <c:pt idx="10">
                  <c:v>2</c:v>
                </c:pt>
                <c:pt idx="11">
                  <c:v>2.5454545454545454</c:v>
                </c:pt>
              </c:numCache>
            </c:numRef>
          </c:val>
          <c:extLst>
            <c:ext xmlns:c16="http://schemas.microsoft.com/office/drawing/2014/chart" uri="{C3380CC4-5D6E-409C-BE32-E72D297353CC}">
              <c16:uniqueId val="{00000000-6562-434E-A92C-94B2CADF9050}"/>
            </c:ext>
          </c:extLst>
        </c:ser>
        <c:ser>
          <c:idx val="1"/>
          <c:order val="1"/>
          <c:tx>
            <c:strRef>
              <c:f>Sheet1!$C$159</c:f>
              <c:strCache>
                <c:ptCount val="1"/>
                <c:pt idx="0">
                  <c:v>Integrarea Egalitatii de Gen</c:v>
                </c:pt>
              </c:strCache>
            </c:strRef>
          </c:tx>
          <c:invertIfNegative val="0"/>
          <c:dLbls>
            <c:spPr>
              <a:noFill/>
              <a:ln>
                <a:noFill/>
              </a:ln>
              <a:effectLst/>
            </c:spPr>
            <c:txPr>
              <a:bodyPr/>
              <a:lstStyle/>
              <a:p>
                <a:pPr>
                  <a:defRPr lang="ro-RO"/>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Sheet1!$A$160:$A$171</c:f>
              <c:strCache>
                <c:ptCount val="12"/>
                <c:pt idx="0">
                  <c:v>Lectia 1</c:v>
                </c:pt>
                <c:pt idx="1">
                  <c:v>Lectia 2</c:v>
                </c:pt>
                <c:pt idx="2">
                  <c:v>Lectia 3</c:v>
                </c:pt>
                <c:pt idx="3">
                  <c:v>Lectia 4</c:v>
                </c:pt>
                <c:pt idx="4">
                  <c:v>Lectia 5</c:v>
                </c:pt>
                <c:pt idx="5">
                  <c:v>Lectia 6</c:v>
                </c:pt>
                <c:pt idx="6">
                  <c:v>Lectia 7</c:v>
                </c:pt>
                <c:pt idx="7">
                  <c:v>Lectia 8</c:v>
                </c:pt>
                <c:pt idx="8">
                  <c:v>Lectia 9</c:v>
                </c:pt>
                <c:pt idx="9">
                  <c:v>Lectia 10</c:v>
                </c:pt>
                <c:pt idx="10">
                  <c:v>Lectia 11-12</c:v>
                </c:pt>
                <c:pt idx="11">
                  <c:v>MEDIA</c:v>
                </c:pt>
              </c:strCache>
            </c:strRef>
          </c:cat>
          <c:val>
            <c:numRef>
              <c:f>Sheet1!$C$160:$C$171</c:f>
              <c:numCache>
                <c:formatCode>0.0</c:formatCode>
                <c:ptCount val="12"/>
                <c:pt idx="0">
                  <c:v>2</c:v>
                </c:pt>
                <c:pt idx="1">
                  <c:v>2</c:v>
                </c:pt>
                <c:pt idx="2">
                  <c:v>2.5</c:v>
                </c:pt>
                <c:pt idx="3">
                  <c:v>2</c:v>
                </c:pt>
                <c:pt idx="4">
                  <c:v>2.5</c:v>
                </c:pt>
                <c:pt idx="5">
                  <c:v>2.5</c:v>
                </c:pt>
                <c:pt idx="6">
                  <c:v>2</c:v>
                </c:pt>
                <c:pt idx="7">
                  <c:v>2</c:v>
                </c:pt>
                <c:pt idx="8">
                  <c:v>2.5</c:v>
                </c:pt>
                <c:pt idx="9">
                  <c:v>2</c:v>
                </c:pt>
                <c:pt idx="10">
                  <c:v>2</c:v>
                </c:pt>
                <c:pt idx="11">
                  <c:v>2.1818181818181799</c:v>
                </c:pt>
              </c:numCache>
            </c:numRef>
          </c:val>
          <c:extLst>
            <c:ext xmlns:c16="http://schemas.microsoft.com/office/drawing/2014/chart" uri="{C3380CC4-5D6E-409C-BE32-E72D297353CC}">
              <c16:uniqueId val="{00000001-6562-434E-A92C-94B2CADF9050}"/>
            </c:ext>
          </c:extLst>
        </c:ser>
        <c:dLbls>
          <c:showLegendKey val="0"/>
          <c:showVal val="1"/>
          <c:showCatName val="0"/>
          <c:showSerName val="0"/>
          <c:showPercent val="0"/>
          <c:showBubbleSize val="0"/>
        </c:dLbls>
        <c:gapWidth val="150"/>
        <c:overlap val="-25"/>
        <c:axId val="69865472"/>
        <c:axId val="69867008"/>
      </c:barChart>
      <c:catAx>
        <c:axId val="69865472"/>
        <c:scaling>
          <c:orientation val="minMax"/>
        </c:scaling>
        <c:delete val="0"/>
        <c:axPos val="b"/>
        <c:numFmt formatCode="General" sourceLinked="0"/>
        <c:majorTickMark val="none"/>
        <c:minorTickMark val="none"/>
        <c:tickLblPos val="nextTo"/>
        <c:txPr>
          <a:bodyPr/>
          <a:lstStyle/>
          <a:p>
            <a:pPr>
              <a:defRPr lang="ro-RO"/>
            </a:pPr>
            <a:endParaRPr lang="ro-RO"/>
          </a:p>
        </c:txPr>
        <c:crossAx val="69867008"/>
        <c:crosses val="autoZero"/>
        <c:auto val="1"/>
        <c:lblAlgn val="ctr"/>
        <c:lblOffset val="100"/>
        <c:noMultiLvlLbl val="0"/>
      </c:catAx>
      <c:valAx>
        <c:axId val="69867008"/>
        <c:scaling>
          <c:orientation val="minMax"/>
        </c:scaling>
        <c:delete val="1"/>
        <c:axPos val="l"/>
        <c:numFmt formatCode="0.0" sourceLinked="1"/>
        <c:majorTickMark val="out"/>
        <c:minorTickMark val="none"/>
        <c:tickLblPos val="none"/>
        <c:crossAx val="69865472"/>
        <c:crosses val="autoZero"/>
        <c:crossBetween val="between"/>
      </c:valAx>
    </c:plotArea>
    <c:legend>
      <c:legendPos val="t"/>
      <c:overlay val="0"/>
      <c:txPr>
        <a:bodyPr/>
        <a:lstStyle/>
        <a:p>
          <a:pPr>
            <a:defRPr lang="ro-RO"/>
          </a:pPr>
          <a:endParaRPr lang="ro-RO"/>
        </a:p>
      </c:txPr>
    </c:legend>
    <c:plotVisOnly val="1"/>
    <c:dispBlanksAs val="gap"/>
    <c:showDLblsOverMax val="0"/>
  </c:chart>
  <c:spPr>
    <a:solidFill>
      <a:schemeClr val="lt1"/>
    </a:solidFill>
    <a:ln w="25400" cap="flat" cmpd="sng" algn="ctr">
      <a:solidFill>
        <a:schemeClr val="accent6"/>
      </a:solidFill>
      <a:prstDash val="solid"/>
    </a:ln>
    <a:effectLst/>
  </c:spPr>
  <c:txPr>
    <a:bodyPr/>
    <a:lstStyle/>
    <a:p>
      <a:pPr>
        <a:defRPr>
          <a:solidFill>
            <a:schemeClr val="dk1"/>
          </a:solidFill>
          <a:latin typeface="+mn-lt"/>
          <a:ea typeface="+mn-ea"/>
          <a:cs typeface="+mn-cs"/>
        </a:defRPr>
      </a:pPr>
      <a:endParaRPr lang="ro-RO"/>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Sheet1!$A$195</c:f>
              <c:strCache>
                <c:ptCount val="1"/>
                <c:pt idx="0">
                  <c:v>General score</c:v>
                </c:pt>
              </c:strCache>
            </c:strRef>
          </c:tx>
          <c:invertIfNegative val="0"/>
          <c:dPt>
            <c:idx val="1"/>
            <c:invertIfNegative val="0"/>
            <c:bubble3D val="0"/>
            <c:spPr>
              <a:solidFill>
                <a:srgbClr val="FFFF00"/>
              </a:solidFill>
            </c:spPr>
            <c:extLst>
              <c:ext xmlns:c16="http://schemas.microsoft.com/office/drawing/2014/chart" uri="{C3380CC4-5D6E-409C-BE32-E72D297353CC}">
                <c16:uniqueId val="{00000000-3FA5-49AB-B89E-707F565AD609}"/>
              </c:ext>
            </c:extLst>
          </c:dPt>
          <c:dPt>
            <c:idx val="2"/>
            <c:invertIfNegative val="0"/>
            <c:bubble3D val="0"/>
            <c:spPr>
              <a:solidFill>
                <a:srgbClr val="FF0000"/>
              </a:solidFill>
            </c:spPr>
            <c:extLst>
              <c:ext xmlns:c16="http://schemas.microsoft.com/office/drawing/2014/chart" uri="{C3380CC4-5D6E-409C-BE32-E72D297353CC}">
                <c16:uniqueId val="{00000001-3FA5-49AB-B89E-707F565AD609}"/>
              </c:ext>
            </c:extLst>
          </c:dPt>
          <c:dLbls>
            <c:spPr>
              <a:noFill/>
              <a:ln>
                <a:noFill/>
              </a:ln>
              <a:effectLst/>
            </c:spPr>
            <c:txPr>
              <a:bodyPr/>
              <a:lstStyle/>
              <a:p>
                <a:pPr>
                  <a:defRPr lang="ro-RO"/>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Sheet1!$B$194:$D$194</c:f>
              <c:strCache>
                <c:ptCount val="3"/>
                <c:pt idx="0">
                  <c:v>Relevanta de Gen</c:v>
                </c:pt>
                <c:pt idx="1">
                  <c:v>Integrarea Egalitatii de Gen</c:v>
                </c:pt>
                <c:pt idx="2">
                  <c:v>Diferenta de gen </c:v>
                </c:pt>
              </c:strCache>
            </c:strRef>
          </c:cat>
          <c:val>
            <c:numRef>
              <c:f>Sheet1!$B$195:$D$195</c:f>
              <c:numCache>
                <c:formatCode>0.0</c:formatCode>
                <c:ptCount val="3"/>
                <c:pt idx="0">
                  <c:v>2.5111111111111111</c:v>
                </c:pt>
                <c:pt idx="1">
                  <c:v>2.2666666666666666</c:v>
                </c:pt>
                <c:pt idx="2">
                  <c:v>0.24444444444444469</c:v>
                </c:pt>
              </c:numCache>
            </c:numRef>
          </c:val>
          <c:extLst>
            <c:ext xmlns:c16="http://schemas.microsoft.com/office/drawing/2014/chart" uri="{C3380CC4-5D6E-409C-BE32-E72D297353CC}">
              <c16:uniqueId val="{00000002-3FA5-49AB-B89E-707F565AD609}"/>
            </c:ext>
          </c:extLst>
        </c:ser>
        <c:dLbls>
          <c:showLegendKey val="0"/>
          <c:showVal val="0"/>
          <c:showCatName val="0"/>
          <c:showSerName val="0"/>
          <c:showPercent val="0"/>
          <c:showBubbleSize val="0"/>
        </c:dLbls>
        <c:gapWidth val="150"/>
        <c:axId val="69900160"/>
        <c:axId val="69901696"/>
      </c:barChart>
      <c:catAx>
        <c:axId val="69900160"/>
        <c:scaling>
          <c:orientation val="minMax"/>
        </c:scaling>
        <c:delete val="0"/>
        <c:axPos val="b"/>
        <c:numFmt formatCode="General" sourceLinked="0"/>
        <c:majorTickMark val="out"/>
        <c:minorTickMark val="none"/>
        <c:tickLblPos val="nextTo"/>
        <c:txPr>
          <a:bodyPr/>
          <a:lstStyle/>
          <a:p>
            <a:pPr>
              <a:defRPr lang="ro-RO"/>
            </a:pPr>
            <a:endParaRPr lang="ro-RO"/>
          </a:p>
        </c:txPr>
        <c:crossAx val="69901696"/>
        <c:crosses val="autoZero"/>
        <c:auto val="1"/>
        <c:lblAlgn val="ctr"/>
        <c:lblOffset val="100"/>
        <c:noMultiLvlLbl val="0"/>
      </c:catAx>
      <c:valAx>
        <c:axId val="69901696"/>
        <c:scaling>
          <c:orientation val="minMax"/>
        </c:scaling>
        <c:delete val="0"/>
        <c:axPos val="l"/>
        <c:majorGridlines/>
        <c:numFmt formatCode="0.0" sourceLinked="1"/>
        <c:majorTickMark val="out"/>
        <c:minorTickMark val="none"/>
        <c:tickLblPos val="nextTo"/>
        <c:txPr>
          <a:bodyPr/>
          <a:lstStyle/>
          <a:p>
            <a:pPr>
              <a:defRPr lang="ro-RO"/>
            </a:pPr>
            <a:endParaRPr lang="ro-RO"/>
          </a:p>
        </c:txPr>
        <c:crossAx val="69900160"/>
        <c:crosses val="autoZero"/>
        <c:crossBetween val="between"/>
      </c:valAx>
    </c:plotArea>
    <c:plotVisOnly val="1"/>
    <c:dispBlanksAs val="gap"/>
    <c:showDLblsOverMax val="0"/>
  </c:chart>
  <c:spPr>
    <a:solidFill>
      <a:schemeClr val="lt1"/>
    </a:solidFill>
    <a:ln w="25400" cap="flat" cmpd="sng" algn="ctr">
      <a:solidFill>
        <a:schemeClr val="accent6"/>
      </a:solidFill>
      <a:prstDash val="solid"/>
    </a:ln>
    <a:effectLst/>
  </c:spPr>
  <c:txPr>
    <a:bodyPr/>
    <a:lstStyle/>
    <a:p>
      <a:pPr>
        <a:defRPr>
          <a:solidFill>
            <a:schemeClr val="dk1"/>
          </a:solidFill>
          <a:latin typeface="+mn-lt"/>
          <a:ea typeface="+mn-ea"/>
          <a:cs typeface="+mn-cs"/>
        </a:defRPr>
      </a:pPr>
      <a:endParaRPr lang="ro-RO"/>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pPr>
              <a:noFill/>
              <a:ln>
                <a:noFill/>
              </a:ln>
              <a:effectLst/>
            </c:spPr>
            <c:txPr>
              <a:bodyPr/>
              <a:lstStyle/>
              <a:p>
                <a:pPr>
                  <a:defRPr lang="ro-RO"/>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Sheet2!$E$14:$E$15</c:f>
              <c:strCache>
                <c:ptCount val="2"/>
                <c:pt idx="0">
                  <c:v>Relevanta de gen</c:v>
                </c:pt>
                <c:pt idx="1">
                  <c:v>Integrarea egalitatii de gen </c:v>
                </c:pt>
              </c:strCache>
            </c:strRef>
          </c:cat>
          <c:val>
            <c:numRef>
              <c:f>Sheet2!$F$14:$F$15</c:f>
              <c:numCache>
                <c:formatCode>General</c:formatCode>
                <c:ptCount val="2"/>
                <c:pt idx="0">
                  <c:v>3.5</c:v>
                </c:pt>
                <c:pt idx="1">
                  <c:v>1</c:v>
                </c:pt>
              </c:numCache>
            </c:numRef>
          </c:val>
          <c:extLst>
            <c:ext xmlns:c16="http://schemas.microsoft.com/office/drawing/2014/chart" uri="{C3380CC4-5D6E-409C-BE32-E72D297353CC}">
              <c16:uniqueId val="{00000000-8DCA-4009-A204-570C12E16DF4}"/>
            </c:ext>
          </c:extLst>
        </c:ser>
        <c:dLbls>
          <c:showLegendKey val="0"/>
          <c:showVal val="0"/>
          <c:showCatName val="0"/>
          <c:showSerName val="0"/>
          <c:showPercent val="0"/>
          <c:showBubbleSize val="0"/>
        </c:dLbls>
        <c:gapWidth val="150"/>
        <c:axId val="62378752"/>
        <c:axId val="62380288"/>
      </c:barChart>
      <c:catAx>
        <c:axId val="62378752"/>
        <c:scaling>
          <c:orientation val="minMax"/>
        </c:scaling>
        <c:delete val="0"/>
        <c:axPos val="b"/>
        <c:numFmt formatCode="General" sourceLinked="0"/>
        <c:majorTickMark val="out"/>
        <c:minorTickMark val="none"/>
        <c:tickLblPos val="nextTo"/>
        <c:txPr>
          <a:bodyPr/>
          <a:lstStyle/>
          <a:p>
            <a:pPr>
              <a:defRPr lang="ro-RO"/>
            </a:pPr>
            <a:endParaRPr lang="ro-RO"/>
          </a:p>
        </c:txPr>
        <c:crossAx val="62380288"/>
        <c:crosses val="autoZero"/>
        <c:auto val="1"/>
        <c:lblAlgn val="ctr"/>
        <c:lblOffset val="100"/>
        <c:noMultiLvlLbl val="0"/>
      </c:catAx>
      <c:valAx>
        <c:axId val="62380288"/>
        <c:scaling>
          <c:orientation val="minMax"/>
        </c:scaling>
        <c:delete val="0"/>
        <c:axPos val="l"/>
        <c:majorGridlines/>
        <c:numFmt formatCode="General" sourceLinked="1"/>
        <c:majorTickMark val="out"/>
        <c:minorTickMark val="none"/>
        <c:tickLblPos val="nextTo"/>
        <c:txPr>
          <a:bodyPr/>
          <a:lstStyle/>
          <a:p>
            <a:pPr>
              <a:defRPr lang="ro-RO"/>
            </a:pPr>
            <a:endParaRPr lang="ro-RO"/>
          </a:p>
        </c:txPr>
        <c:crossAx val="62378752"/>
        <c:crosses val="autoZero"/>
        <c:crossBetween val="between"/>
      </c:valAx>
    </c:plotArea>
    <c:plotVisOnly val="1"/>
    <c:dispBlanksAs val="gap"/>
    <c:showDLblsOverMax val="0"/>
  </c:chart>
  <c:spPr>
    <a:solidFill>
      <a:schemeClr val="lt1"/>
    </a:solidFill>
    <a:ln w="25400" cap="flat" cmpd="sng" algn="ctr">
      <a:solidFill>
        <a:schemeClr val="accent6"/>
      </a:solidFill>
      <a:prstDash val="solid"/>
    </a:ln>
    <a:effectLst/>
  </c:spPr>
  <c:txPr>
    <a:bodyPr/>
    <a:lstStyle/>
    <a:p>
      <a:pPr>
        <a:defRPr>
          <a:solidFill>
            <a:schemeClr val="dk1"/>
          </a:solidFill>
          <a:latin typeface="+mn-lt"/>
          <a:ea typeface="+mn-ea"/>
          <a:cs typeface="+mn-cs"/>
        </a:defRPr>
      </a:pPr>
      <a:endParaRPr lang="ro-RO"/>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Sheet1!$B$177</c:f>
              <c:strCache>
                <c:ptCount val="1"/>
                <c:pt idx="0">
                  <c:v>Relevanta de Gen</c:v>
                </c:pt>
              </c:strCache>
            </c:strRef>
          </c:tx>
          <c:invertIfNegative val="0"/>
          <c:dLbls>
            <c:spPr>
              <a:noFill/>
              <a:ln>
                <a:noFill/>
              </a:ln>
              <a:effectLst/>
            </c:spPr>
            <c:txPr>
              <a:bodyPr/>
              <a:lstStyle/>
              <a:p>
                <a:pPr>
                  <a:defRPr lang="ro-RO"/>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Sheet1!$A$178:$A$186</c:f>
              <c:strCache>
                <c:ptCount val="9"/>
                <c:pt idx="0">
                  <c:v>Clasa V</c:v>
                </c:pt>
                <c:pt idx="1">
                  <c:v>Clasa VI</c:v>
                </c:pt>
                <c:pt idx="2">
                  <c:v>Clasa VII</c:v>
                </c:pt>
                <c:pt idx="3">
                  <c:v>Clasa VIII</c:v>
                </c:pt>
                <c:pt idx="4">
                  <c:v>Clasa IX</c:v>
                </c:pt>
                <c:pt idx="5">
                  <c:v>Clasa X</c:v>
                </c:pt>
                <c:pt idx="6">
                  <c:v>Clasa XI</c:v>
                </c:pt>
                <c:pt idx="7">
                  <c:v>Clasa XII</c:v>
                </c:pt>
                <c:pt idx="8">
                  <c:v>Scoli Profesionale</c:v>
                </c:pt>
              </c:strCache>
            </c:strRef>
          </c:cat>
          <c:val>
            <c:numRef>
              <c:f>Sheet1!$B$178:$B$186</c:f>
              <c:numCache>
                <c:formatCode>General</c:formatCode>
                <c:ptCount val="9"/>
                <c:pt idx="0">
                  <c:v>2.6</c:v>
                </c:pt>
                <c:pt idx="1">
                  <c:v>2.4</c:v>
                </c:pt>
                <c:pt idx="2">
                  <c:v>2.6</c:v>
                </c:pt>
                <c:pt idx="3">
                  <c:v>2.4</c:v>
                </c:pt>
                <c:pt idx="4">
                  <c:v>2.5</c:v>
                </c:pt>
                <c:pt idx="5">
                  <c:v>2.2999999999999998</c:v>
                </c:pt>
                <c:pt idx="6">
                  <c:v>2.7</c:v>
                </c:pt>
                <c:pt idx="7">
                  <c:v>2.6</c:v>
                </c:pt>
                <c:pt idx="8">
                  <c:v>2.5</c:v>
                </c:pt>
              </c:numCache>
            </c:numRef>
          </c:val>
          <c:extLst>
            <c:ext xmlns:c16="http://schemas.microsoft.com/office/drawing/2014/chart" uri="{C3380CC4-5D6E-409C-BE32-E72D297353CC}">
              <c16:uniqueId val="{00000000-59F8-4700-94C0-BFF9ACC8356B}"/>
            </c:ext>
          </c:extLst>
        </c:ser>
        <c:ser>
          <c:idx val="1"/>
          <c:order val="1"/>
          <c:tx>
            <c:strRef>
              <c:f>Sheet1!$C$177</c:f>
              <c:strCache>
                <c:ptCount val="1"/>
                <c:pt idx="0">
                  <c:v>Integrarea Egalitatii de Gen</c:v>
                </c:pt>
              </c:strCache>
            </c:strRef>
          </c:tx>
          <c:invertIfNegative val="0"/>
          <c:dLbls>
            <c:spPr>
              <a:noFill/>
              <a:ln>
                <a:noFill/>
              </a:ln>
              <a:effectLst/>
            </c:spPr>
            <c:txPr>
              <a:bodyPr/>
              <a:lstStyle/>
              <a:p>
                <a:pPr>
                  <a:defRPr lang="ro-RO"/>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Sheet1!$A$178:$A$186</c:f>
              <c:strCache>
                <c:ptCount val="9"/>
                <c:pt idx="0">
                  <c:v>Clasa V</c:v>
                </c:pt>
                <c:pt idx="1">
                  <c:v>Clasa VI</c:v>
                </c:pt>
                <c:pt idx="2">
                  <c:v>Clasa VII</c:v>
                </c:pt>
                <c:pt idx="3">
                  <c:v>Clasa VIII</c:v>
                </c:pt>
                <c:pt idx="4">
                  <c:v>Clasa IX</c:v>
                </c:pt>
                <c:pt idx="5">
                  <c:v>Clasa X</c:v>
                </c:pt>
                <c:pt idx="6">
                  <c:v>Clasa XI</c:v>
                </c:pt>
                <c:pt idx="7">
                  <c:v>Clasa XII</c:v>
                </c:pt>
                <c:pt idx="8">
                  <c:v>Scoli Profesionale</c:v>
                </c:pt>
              </c:strCache>
            </c:strRef>
          </c:cat>
          <c:val>
            <c:numRef>
              <c:f>Sheet1!$C$178:$C$186</c:f>
              <c:numCache>
                <c:formatCode>General</c:formatCode>
                <c:ptCount val="9"/>
                <c:pt idx="0">
                  <c:v>2.2999999999999998</c:v>
                </c:pt>
                <c:pt idx="1">
                  <c:v>2.2999999999999998</c:v>
                </c:pt>
                <c:pt idx="2">
                  <c:v>2.4</c:v>
                </c:pt>
                <c:pt idx="3">
                  <c:v>2.2000000000000002</c:v>
                </c:pt>
                <c:pt idx="4">
                  <c:v>2.2999999999999998</c:v>
                </c:pt>
                <c:pt idx="5">
                  <c:v>2.1</c:v>
                </c:pt>
                <c:pt idx="6">
                  <c:v>2.2999999999999998</c:v>
                </c:pt>
                <c:pt idx="7">
                  <c:v>2.2999999999999998</c:v>
                </c:pt>
                <c:pt idx="8">
                  <c:v>2.2000000000000002</c:v>
                </c:pt>
              </c:numCache>
            </c:numRef>
          </c:val>
          <c:extLst>
            <c:ext xmlns:c16="http://schemas.microsoft.com/office/drawing/2014/chart" uri="{C3380CC4-5D6E-409C-BE32-E72D297353CC}">
              <c16:uniqueId val="{00000001-59F8-4700-94C0-BFF9ACC8356B}"/>
            </c:ext>
          </c:extLst>
        </c:ser>
        <c:dLbls>
          <c:showLegendKey val="0"/>
          <c:showVal val="0"/>
          <c:showCatName val="0"/>
          <c:showSerName val="0"/>
          <c:showPercent val="0"/>
          <c:showBubbleSize val="0"/>
        </c:dLbls>
        <c:gapWidth val="75"/>
        <c:overlap val="-25"/>
        <c:axId val="70004736"/>
        <c:axId val="70006272"/>
      </c:barChart>
      <c:catAx>
        <c:axId val="70004736"/>
        <c:scaling>
          <c:orientation val="minMax"/>
        </c:scaling>
        <c:delete val="0"/>
        <c:axPos val="b"/>
        <c:numFmt formatCode="General" sourceLinked="0"/>
        <c:majorTickMark val="none"/>
        <c:minorTickMark val="none"/>
        <c:tickLblPos val="nextTo"/>
        <c:txPr>
          <a:bodyPr/>
          <a:lstStyle/>
          <a:p>
            <a:pPr>
              <a:defRPr lang="ro-RO" sz="800"/>
            </a:pPr>
            <a:endParaRPr lang="ro-RO"/>
          </a:p>
        </c:txPr>
        <c:crossAx val="70006272"/>
        <c:crosses val="autoZero"/>
        <c:auto val="1"/>
        <c:lblAlgn val="ctr"/>
        <c:lblOffset val="100"/>
        <c:noMultiLvlLbl val="0"/>
      </c:catAx>
      <c:valAx>
        <c:axId val="70006272"/>
        <c:scaling>
          <c:orientation val="minMax"/>
        </c:scaling>
        <c:delete val="0"/>
        <c:axPos val="l"/>
        <c:majorGridlines/>
        <c:numFmt formatCode="General" sourceLinked="1"/>
        <c:majorTickMark val="none"/>
        <c:minorTickMark val="none"/>
        <c:tickLblPos val="nextTo"/>
        <c:spPr>
          <a:ln w="9525">
            <a:noFill/>
          </a:ln>
        </c:spPr>
        <c:txPr>
          <a:bodyPr/>
          <a:lstStyle/>
          <a:p>
            <a:pPr>
              <a:defRPr lang="ro-RO"/>
            </a:pPr>
            <a:endParaRPr lang="ro-RO"/>
          </a:p>
        </c:txPr>
        <c:crossAx val="70004736"/>
        <c:crosses val="autoZero"/>
        <c:crossBetween val="between"/>
      </c:valAx>
    </c:plotArea>
    <c:legend>
      <c:legendPos val="b"/>
      <c:overlay val="0"/>
      <c:txPr>
        <a:bodyPr/>
        <a:lstStyle/>
        <a:p>
          <a:pPr>
            <a:defRPr lang="ro-RO"/>
          </a:pPr>
          <a:endParaRPr lang="ro-RO"/>
        </a:p>
      </c:txPr>
    </c:legend>
    <c:plotVisOnly val="1"/>
    <c:dispBlanksAs val="gap"/>
    <c:showDLblsOverMax val="0"/>
  </c:chart>
  <c:spPr>
    <a:solidFill>
      <a:schemeClr val="lt1"/>
    </a:solidFill>
    <a:ln w="25400" cap="flat" cmpd="sng" algn="ctr">
      <a:solidFill>
        <a:schemeClr val="accent6"/>
      </a:solidFill>
      <a:prstDash val="solid"/>
    </a:ln>
    <a:effectLst/>
  </c:spPr>
  <c:txPr>
    <a:bodyPr/>
    <a:lstStyle/>
    <a:p>
      <a:pPr>
        <a:defRPr>
          <a:solidFill>
            <a:schemeClr val="dk1"/>
          </a:solidFill>
          <a:latin typeface="+mn-lt"/>
          <a:ea typeface="+mn-ea"/>
          <a:cs typeface="+mn-cs"/>
        </a:defRPr>
      </a:pPr>
      <a:endParaRPr lang="ro-RO"/>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Sheet2!$E$28</c:f>
              <c:strCache>
                <c:ptCount val="1"/>
                <c:pt idx="0">
                  <c:v>Fete</c:v>
                </c:pt>
              </c:strCache>
            </c:strRef>
          </c:tx>
          <c:invertIfNegative val="0"/>
          <c:dLbls>
            <c:spPr>
              <a:noFill/>
              <a:ln>
                <a:noFill/>
              </a:ln>
              <a:effectLst/>
            </c:spPr>
            <c:txPr>
              <a:bodyPr/>
              <a:lstStyle/>
              <a:p>
                <a:pPr>
                  <a:defRPr lang="ro-RO"/>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Sheet2!$D$29:$D$31</c:f>
              <c:strCache>
                <c:ptCount val="3"/>
                <c:pt idx="0">
                  <c:v>Matematica</c:v>
                </c:pt>
                <c:pt idx="1">
                  <c:v>Limba Romana</c:v>
                </c:pt>
                <c:pt idx="2">
                  <c:v>Limba Rusa</c:v>
                </c:pt>
              </c:strCache>
            </c:strRef>
          </c:cat>
          <c:val>
            <c:numRef>
              <c:f>Sheet2!$E$29:$E$31</c:f>
              <c:numCache>
                <c:formatCode>General</c:formatCode>
                <c:ptCount val="3"/>
                <c:pt idx="0">
                  <c:v>70.3</c:v>
                </c:pt>
                <c:pt idx="1">
                  <c:v>69.400000000000006</c:v>
                </c:pt>
                <c:pt idx="2">
                  <c:v>70.2</c:v>
                </c:pt>
              </c:numCache>
            </c:numRef>
          </c:val>
          <c:extLst>
            <c:ext xmlns:c16="http://schemas.microsoft.com/office/drawing/2014/chart" uri="{C3380CC4-5D6E-409C-BE32-E72D297353CC}">
              <c16:uniqueId val="{00000000-BAD9-423A-8E16-4D227EE31391}"/>
            </c:ext>
          </c:extLst>
        </c:ser>
        <c:ser>
          <c:idx val="1"/>
          <c:order val="1"/>
          <c:tx>
            <c:strRef>
              <c:f>Sheet2!$F$28</c:f>
              <c:strCache>
                <c:ptCount val="1"/>
                <c:pt idx="0">
                  <c:v>Baieti</c:v>
                </c:pt>
              </c:strCache>
            </c:strRef>
          </c:tx>
          <c:invertIfNegative val="0"/>
          <c:dLbls>
            <c:spPr>
              <a:noFill/>
              <a:ln>
                <a:noFill/>
              </a:ln>
              <a:effectLst/>
            </c:spPr>
            <c:txPr>
              <a:bodyPr/>
              <a:lstStyle/>
              <a:p>
                <a:pPr>
                  <a:defRPr lang="ro-RO"/>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Sheet2!$D$29:$D$31</c:f>
              <c:strCache>
                <c:ptCount val="3"/>
                <c:pt idx="0">
                  <c:v>Matematica</c:v>
                </c:pt>
                <c:pt idx="1">
                  <c:v>Limba Romana</c:v>
                </c:pt>
                <c:pt idx="2">
                  <c:v>Limba Rusa</c:v>
                </c:pt>
              </c:strCache>
            </c:strRef>
          </c:cat>
          <c:val>
            <c:numRef>
              <c:f>Sheet2!$F$29:$F$31</c:f>
              <c:numCache>
                <c:formatCode>General</c:formatCode>
                <c:ptCount val="3"/>
                <c:pt idx="0">
                  <c:v>63.1</c:v>
                </c:pt>
                <c:pt idx="1">
                  <c:v>57.9</c:v>
                </c:pt>
                <c:pt idx="2">
                  <c:v>62</c:v>
                </c:pt>
              </c:numCache>
            </c:numRef>
          </c:val>
          <c:extLst>
            <c:ext xmlns:c16="http://schemas.microsoft.com/office/drawing/2014/chart" uri="{C3380CC4-5D6E-409C-BE32-E72D297353CC}">
              <c16:uniqueId val="{00000001-BAD9-423A-8E16-4D227EE31391}"/>
            </c:ext>
          </c:extLst>
        </c:ser>
        <c:dLbls>
          <c:showLegendKey val="0"/>
          <c:showVal val="0"/>
          <c:showCatName val="0"/>
          <c:showSerName val="0"/>
          <c:showPercent val="0"/>
          <c:showBubbleSize val="0"/>
        </c:dLbls>
        <c:gapWidth val="150"/>
        <c:axId val="62640128"/>
        <c:axId val="62641664"/>
      </c:barChart>
      <c:catAx>
        <c:axId val="62640128"/>
        <c:scaling>
          <c:orientation val="minMax"/>
        </c:scaling>
        <c:delete val="0"/>
        <c:axPos val="b"/>
        <c:numFmt formatCode="General" sourceLinked="0"/>
        <c:majorTickMark val="out"/>
        <c:minorTickMark val="none"/>
        <c:tickLblPos val="nextTo"/>
        <c:txPr>
          <a:bodyPr/>
          <a:lstStyle/>
          <a:p>
            <a:pPr>
              <a:defRPr lang="ro-RO"/>
            </a:pPr>
            <a:endParaRPr lang="ro-RO"/>
          </a:p>
        </c:txPr>
        <c:crossAx val="62641664"/>
        <c:crosses val="autoZero"/>
        <c:auto val="1"/>
        <c:lblAlgn val="ctr"/>
        <c:lblOffset val="100"/>
        <c:noMultiLvlLbl val="0"/>
      </c:catAx>
      <c:valAx>
        <c:axId val="62641664"/>
        <c:scaling>
          <c:orientation val="minMax"/>
        </c:scaling>
        <c:delete val="0"/>
        <c:axPos val="l"/>
        <c:majorGridlines/>
        <c:numFmt formatCode="General" sourceLinked="1"/>
        <c:majorTickMark val="out"/>
        <c:minorTickMark val="none"/>
        <c:tickLblPos val="nextTo"/>
        <c:txPr>
          <a:bodyPr/>
          <a:lstStyle/>
          <a:p>
            <a:pPr>
              <a:defRPr lang="ro-RO"/>
            </a:pPr>
            <a:endParaRPr lang="ro-RO"/>
          </a:p>
        </c:txPr>
        <c:crossAx val="62640128"/>
        <c:crosses val="autoZero"/>
        <c:crossBetween val="between"/>
      </c:valAx>
    </c:plotArea>
    <c:legend>
      <c:legendPos val="r"/>
      <c:overlay val="0"/>
      <c:txPr>
        <a:bodyPr/>
        <a:lstStyle/>
        <a:p>
          <a:pPr>
            <a:defRPr lang="ro-RO"/>
          </a:pPr>
          <a:endParaRPr lang="ro-RO"/>
        </a:p>
      </c:txPr>
    </c:legend>
    <c:plotVisOnly val="1"/>
    <c:dispBlanksAs val="gap"/>
    <c:showDLblsOverMax val="0"/>
  </c:chart>
  <c:spPr>
    <a:solidFill>
      <a:schemeClr val="lt1"/>
    </a:solidFill>
    <a:ln w="25400" cap="flat" cmpd="sng" algn="ctr">
      <a:solidFill>
        <a:schemeClr val="accent6"/>
      </a:solidFill>
      <a:prstDash val="solid"/>
    </a:ln>
    <a:effectLst/>
  </c:spPr>
  <c:txPr>
    <a:bodyPr/>
    <a:lstStyle/>
    <a:p>
      <a:pPr>
        <a:defRPr>
          <a:solidFill>
            <a:schemeClr val="dk1"/>
          </a:solidFill>
          <a:latin typeface="+mn-lt"/>
          <a:ea typeface="+mn-ea"/>
          <a:cs typeface="+mn-cs"/>
        </a:defRPr>
      </a:pPr>
      <a:endParaRPr lang="ro-RO"/>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col"/>
        <c:grouping val="clustered"/>
        <c:varyColors val="0"/>
        <c:ser>
          <c:idx val="0"/>
          <c:order val="0"/>
          <c:tx>
            <c:strRef>
              <c:f>Sheet2!$E$49</c:f>
              <c:strCache>
                <c:ptCount val="1"/>
                <c:pt idx="0">
                  <c:v>Diferetele de gen in cl IX-a</c:v>
                </c:pt>
              </c:strCache>
            </c:strRef>
          </c:tx>
          <c:invertIfNegative val="0"/>
          <c:dLbls>
            <c:spPr>
              <a:noFill/>
              <a:ln>
                <a:noFill/>
              </a:ln>
              <a:effectLst/>
            </c:spPr>
            <c:txPr>
              <a:bodyPr/>
              <a:lstStyle/>
              <a:p>
                <a:pPr>
                  <a:defRPr lang="ro-RO"/>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Sheet2!$D$50:$D$52</c:f>
              <c:strCache>
                <c:ptCount val="3"/>
                <c:pt idx="0">
                  <c:v>Matematica</c:v>
                </c:pt>
                <c:pt idx="1">
                  <c:v>Limba Romana</c:v>
                </c:pt>
                <c:pt idx="2">
                  <c:v>Limba Rusa</c:v>
                </c:pt>
              </c:strCache>
            </c:strRef>
          </c:cat>
          <c:val>
            <c:numRef>
              <c:f>Sheet2!$E$50:$E$52</c:f>
              <c:numCache>
                <c:formatCode>General</c:formatCode>
                <c:ptCount val="3"/>
                <c:pt idx="0">
                  <c:v>7.2</c:v>
                </c:pt>
                <c:pt idx="1">
                  <c:v>11.5</c:v>
                </c:pt>
                <c:pt idx="2">
                  <c:v>8.2000000000000011</c:v>
                </c:pt>
              </c:numCache>
            </c:numRef>
          </c:val>
          <c:extLst>
            <c:ext xmlns:c16="http://schemas.microsoft.com/office/drawing/2014/chart" uri="{C3380CC4-5D6E-409C-BE32-E72D297353CC}">
              <c16:uniqueId val="{00000000-1087-44E5-9BB1-ACA39D905388}"/>
            </c:ext>
          </c:extLst>
        </c:ser>
        <c:ser>
          <c:idx val="1"/>
          <c:order val="1"/>
          <c:tx>
            <c:strRef>
              <c:f>Sheet2!$F$49</c:f>
              <c:strCache>
                <c:ptCount val="1"/>
                <c:pt idx="0">
                  <c:v>Diferentele de gen in cl IV-a</c:v>
                </c:pt>
              </c:strCache>
            </c:strRef>
          </c:tx>
          <c:spPr>
            <a:solidFill>
              <a:schemeClr val="accent1"/>
            </a:solidFill>
          </c:spPr>
          <c:invertIfNegative val="0"/>
          <c:dLbls>
            <c:spPr>
              <a:noFill/>
              <a:ln>
                <a:noFill/>
              </a:ln>
              <a:effectLst/>
            </c:spPr>
            <c:txPr>
              <a:bodyPr/>
              <a:lstStyle/>
              <a:p>
                <a:pPr>
                  <a:defRPr lang="ro-RO"/>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Sheet2!$D$50:$D$52</c:f>
              <c:strCache>
                <c:ptCount val="3"/>
                <c:pt idx="0">
                  <c:v>Matematica</c:v>
                </c:pt>
                <c:pt idx="1">
                  <c:v>Limba Romana</c:v>
                </c:pt>
                <c:pt idx="2">
                  <c:v>Limba Rusa</c:v>
                </c:pt>
              </c:strCache>
            </c:strRef>
          </c:cat>
          <c:val>
            <c:numRef>
              <c:f>Sheet2!$F$50:$F$52</c:f>
              <c:numCache>
                <c:formatCode>General</c:formatCode>
                <c:ptCount val="3"/>
                <c:pt idx="0">
                  <c:v>2.5</c:v>
                </c:pt>
                <c:pt idx="1">
                  <c:v>5.7</c:v>
                </c:pt>
                <c:pt idx="2">
                  <c:v>5.4</c:v>
                </c:pt>
              </c:numCache>
            </c:numRef>
          </c:val>
          <c:extLst>
            <c:ext xmlns:c16="http://schemas.microsoft.com/office/drawing/2014/chart" uri="{C3380CC4-5D6E-409C-BE32-E72D297353CC}">
              <c16:uniqueId val="{00000001-1087-44E5-9BB1-ACA39D905388}"/>
            </c:ext>
          </c:extLst>
        </c:ser>
        <c:dLbls>
          <c:showLegendKey val="0"/>
          <c:showVal val="1"/>
          <c:showCatName val="0"/>
          <c:showSerName val="0"/>
          <c:showPercent val="0"/>
          <c:showBubbleSize val="0"/>
        </c:dLbls>
        <c:gapWidth val="150"/>
        <c:overlap val="-25"/>
        <c:axId val="56740096"/>
        <c:axId val="56762368"/>
      </c:barChart>
      <c:catAx>
        <c:axId val="56740096"/>
        <c:scaling>
          <c:orientation val="minMax"/>
        </c:scaling>
        <c:delete val="0"/>
        <c:axPos val="b"/>
        <c:numFmt formatCode="General" sourceLinked="0"/>
        <c:majorTickMark val="none"/>
        <c:minorTickMark val="none"/>
        <c:tickLblPos val="nextTo"/>
        <c:txPr>
          <a:bodyPr/>
          <a:lstStyle/>
          <a:p>
            <a:pPr>
              <a:defRPr lang="ro-RO"/>
            </a:pPr>
            <a:endParaRPr lang="ro-RO"/>
          </a:p>
        </c:txPr>
        <c:crossAx val="56762368"/>
        <c:crosses val="autoZero"/>
        <c:auto val="1"/>
        <c:lblAlgn val="ctr"/>
        <c:lblOffset val="100"/>
        <c:noMultiLvlLbl val="0"/>
      </c:catAx>
      <c:valAx>
        <c:axId val="56762368"/>
        <c:scaling>
          <c:orientation val="minMax"/>
        </c:scaling>
        <c:delete val="1"/>
        <c:axPos val="l"/>
        <c:numFmt formatCode="General" sourceLinked="1"/>
        <c:majorTickMark val="out"/>
        <c:minorTickMark val="none"/>
        <c:tickLblPos val="none"/>
        <c:crossAx val="56740096"/>
        <c:crosses val="autoZero"/>
        <c:crossBetween val="between"/>
      </c:valAx>
    </c:plotArea>
    <c:legend>
      <c:legendPos val="t"/>
      <c:overlay val="0"/>
      <c:txPr>
        <a:bodyPr/>
        <a:lstStyle/>
        <a:p>
          <a:pPr>
            <a:defRPr lang="ro-RO"/>
          </a:pPr>
          <a:endParaRPr lang="ro-RO"/>
        </a:p>
      </c:txPr>
    </c:legend>
    <c:plotVisOnly val="1"/>
    <c:dispBlanksAs val="gap"/>
    <c:showDLblsOverMax val="0"/>
  </c:chart>
  <c:spPr>
    <a:solidFill>
      <a:schemeClr val="lt1"/>
    </a:solidFill>
    <a:ln w="25400" cap="flat" cmpd="sng" algn="ctr">
      <a:solidFill>
        <a:schemeClr val="accent6"/>
      </a:solidFill>
      <a:prstDash val="solid"/>
    </a:ln>
    <a:effectLst/>
  </c:spPr>
  <c:txPr>
    <a:bodyPr/>
    <a:lstStyle/>
    <a:p>
      <a:pPr>
        <a:defRPr>
          <a:solidFill>
            <a:schemeClr val="dk1"/>
          </a:solidFill>
          <a:latin typeface="+mn-lt"/>
          <a:ea typeface="+mn-ea"/>
          <a:cs typeface="+mn-cs"/>
        </a:defRPr>
      </a:pPr>
      <a:endParaRPr lang="ro-RO"/>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plotArea>
      <c:layout/>
      <c:barChart>
        <c:barDir val="col"/>
        <c:grouping val="clustered"/>
        <c:varyColors val="0"/>
        <c:ser>
          <c:idx val="0"/>
          <c:order val="0"/>
          <c:tx>
            <c:strRef>
              <c:f>Sheet2!$F$61</c:f>
              <c:strCache>
                <c:ptCount val="1"/>
                <c:pt idx="0">
                  <c:v>fete</c:v>
                </c:pt>
              </c:strCache>
            </c:strRef>
          </c:tx>
          <c:invertIfNegative val="0"/>
          <c:dLbls>
            <c:spPr>
              <a:noFill/>
              <a:ln>
                <a:noFill/>
              </a:ln>
              <a:effectLst/>
            </c:spPr>
            <c:txPr>
              <a:bodyPr/>
              <a:lstStyle/>
              <a:p>
                <a:pPr>
                  <a:defRPr lang="ro-RO"/>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Sheet2!$E$62:$E$64</c:f>
              <c:strCache>
                <c:ptCount val="3"/>
                <c:pt idx="0">
                  <c:v>sa am o cariera de succes</c:v>
                </c:pt>
                <c:pt idx="1">
                  <c:v>sa intemeiez o familie</c:v>
                </c:pt>
                <c:pt idx="2">
                  <c:v>sa fac bani</c:v>
                </c:pt>
              </c:strCache>
            </c:strRef>
          </c:cat>
          <c:val>
            <c:numRef>
              <c:f>Sheet2!$F$62:$F$64</c:f>
              <c:numCache>
                <c:formatCode>0.0</c:formatCode>
                <c:ptCount val="3"/>
                <c:pt idx="0" formatCode="General">
                  <c:v>24.7</c:v>
                </c:pt>
                <c:pt idx="1">
                  <c:v>65.7</c:v>
                </c:pt>
                <c:pt idx="2" formatCode="General">
                  <c:v>7.9</c:v>
                </c:pt>
              </c:numCache>
            </c:numRef>
          </c:val>
          <c:extLst>
            <c:ext xmlns:c16="http://schemas.microsoft.com/office/drawing/2014/chart" uri="{C3380CC4-5D6E-409C-BE32-E72D297353CC}">
              <c16:uniqueId val="{00000000-EF5F-4CBD-9541-D7E79898C024}"/>
            </c:ext>
          </c:extLst>
        </c:ser>
        <c:ser>
          <c:idx val="1"/>
          <c:order val="1"/>
          <c:tx>
            <c:strRef>
              <c:f>Sheet2!$G$61</c:f>
              <c:strCache>
                <c:ptCount val="1"/>
                <c:pt idx="0">
                  <c:v>baieti</c:v>
                </c:pt>
              </c:strCache>
            </c:strRef>
          </c:tx>
          <c:spPr>
            <a:solidFill>
              <a:schemeClr val="accent2">
                <a:lumMod val="75000"/>
              </a:schemeClr>
            </a:solidFill>
          </c:spPr>
          <c:invertIfNegative val="0"/>
          <c:dLbls>
            <c:spPr>
              <a:noFill/>
              <a:ln>
                <a:noFill/>
              </a:ln>
              <a:effectLst/>
            </c:spPr>
            <c:txPr>
              <a:bodyPr/>
              <a:lstStyle/>
              <a:p>
                <a:pPr>
                  <a:defRPr lang="ro-RO"/>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Sheet2!$E$62:$E$64</c:f>
              <c:strCache>
                <c:ptCount val="3"/>
                <c:pt idx="0">
                  <c:v>sa am o cariera de succes</c:v>
                </c:pt>
                <c:pt idx="1">
                  <c:v>sa intemeiez o familie</c:v>
                </c:pt>
                <c:pt idx="2">
                  <c:v>sa fac bani</c:v>
                </c:pt>
              </c:strCache>
            </c:strRef>
          </c:cat>
          <c:val>
            <c:numRef>
              <c:f>Sheet2!$G$62:$G$64</c:f>
              <c:numCache>
                <c:formatCode>General</c:formatCode>
                <c:ptCount val="3"/>
                <c:pt idx="0">
                  <c:v>28.7</c:v>
                </c:pt>
                <c:pt idx="1">
                  <c:v>34.200000000000003</c:v>
                </c:pt>
                <c:pt idx="2">
                  <c:v>34.800000000000004</c:v>
                </c:pt>
              </c:numCache>
            </c:numRef>
          </c:val>
          <c:extLst>
            <c:ext xmlns:c16="http://schemas.microsoft.com/office/drawing/2014/chart" uri="{C3380CC4-5D6E-409C-BE32-E72D297353CC}">
              <c16:uniqueId val="{00000001-EF5F-4CBD-9541-D7E79898C024}"/>
            </c:ext>
          </c:extLst>
        </c:ser>
        <c:dLbls>
          <c:showLegendKey val="0"/>
          <c:showVal val="0"/>
          <c:showCatName val="0"/>
          <c:showSerName val="0"/>
          <c:showPercent val="0"/>
          <c:showBubbleSize val="0"/>
        </c:dLbls>
        <c:gapWidth val="150"/>
        <c:axId val="56795904"/>
        <c:axId val="56797440"/>
      </c:barChart>
      <c:catAx>
        <c:axId val="56795904"/>
        <c:scaling>
          <c:orientation val="minMax"/>
        </c:scaling>
        <c:delete val="0"/>
        <c:axPos val="b"/>
        <c:numFmt formatCode="General" sourceLinked="0"/>
        <c:majorTickMark val="out"/>
        <c:minorTickMark val="none"/>
        <c:tickLblPos val="nextTo"/>
        <c:txPr>
          <a:bodyPr/>
          <a:lstStyle/>
          <a:p>
            <a:pPr>
              <a:defRPr lang="ro-RO"/>
            </a:pPr>
            <a:endParaRPr lang="ro-RO"/>
          </a:p>
        </c:txPr>
        <c:crossAx val="56797440"/>
        <c:crosses val="autoZero"/>
        <c:auto val="1"/>
        <c:lblAlgn val="ctr"/>
        <c:lblOffset val="100"/>
        <c:noMultiLvlLbl val="0"/>
      </c:catAx>
      <c:valAx>
        <c:axId val="56797440"/>
        <c:scaling>
          <c:orientation val="minMax"/>
        </c:scaling>
        <c:delete val="0"/>
        <c:axPos val="l"/>
        <c:majorGridlines/>
        <c:numFmt formatCode="General" sourceLinked="1"/>
        <c:majorTickMark val="out"/>
        <c:minorTickMark val="none"/>
        <c:tickLblPos val="nextTo"/>
        <c:txPr>
          <a:bodyPr/>
          <a:lstStyle/>
          <a:p>
            <a:pPr>
              <a:defRPr lang="ro-RO"/>
            </a:pPr>
            <a:endParaRPr lang="ro-RO"/>
          </a:p>
        </c:txPr>
        <c:crossAx val="56795904"/>
        <c:crosses val="autoZero"/>
        <c:crossBetween val="between"/>
      </c:valAx>
    </c:plotArea>
    <c:legend>
      <c:legendPos val="r"/>
      <c:overlay val="0"/>
      <c:txPr>
        <a:bodyPr/>
        <a:lstStyle/>
        <a:p>
          <a:pPr>
            <a:defRPr lang="ro-RO"/>
          </a:pPr>
          <a:endParaRPr lang="ro-RO"/>
        </a:p>
      </c:txPr>
    </c:legend>
    <c:plotVisOnly val="1"/>
    <c:dispBlanksAs val="gap"/>
    <c:showDLblsOverMax val="0"/>
  </c:chart>
  <c:spPr>
    <a:solidFill>
      <a:schemeClr val="lt1"/>
    </a:solidFill>
    <a:ln w="25400" cap="flat" cmpd="sng" algn="ctr">
      <a:solidFill>
        <a:schemeClr val="accent6"/>
      </a:solidFill>
      <a:prstDash val="solid"/>
    </a:ln>
    <a:effectLst/>
  </c:spPr>
  <c:txPr>
    <a:bodyPr/>
    <a:lstStyle/>
    <a:p>
      <a:pPr>
        <a:defRPr>
          <a:solidFill>
            <a:schemeClr val="dk1"/>
          </a:solidFill>
          <a:latin typeface="+mn-lt"/>
          <a:ea typeface="+mn-ea"/>
          <a:cs typeface="+mn-cs"/>
        </a:defRPr>
      </a:pPr>
      <a:endParaRPr lang="ro-RO"/>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strRef>
              <c:f>Sheet2!$F$86</c:f>
              <c:strCache>
                <c:ptCount val="1"/>
                <c:pt idx="0">
                  <c:v>Matematica</c:v>
                </c:pt>
              </c:strCache>
            </c:strRef>
          </c:tx>
          <c:invertIfNegative val="0"/>
          <c:dLbls>
            <c:spPr>
              <a:noFill/>
              <a:ln>
                <a:noFill/>
              </a:ln>
              <a:effectLst/>
            </c:spPr>
            <c:txPr>
              <a:bodyPr/>
              <a:lstStyle/>
              <a:p>
                <a:pPr>
                  <a:defRPr lang="ro-RO"/>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Sheet2!$E$87:$E$90</c:f>
              <c:strCache>
                <c:ptCount val="4"/>
                <c:pt idx="0">
                  <c:v>Scoala profesionala</c:v>
                </c:pt>
                <c:pt idx="1">
                  <c:v>Colegiu</c:v>
                </c:pt>
                <c:pt idx="2">
                  <c:v>Universitate</c:v>
                </c:pt>
                <c:pt idx="3">
                  <c:v>Nu stiu </c:v>
                </c:pt>
              </c:strCache>
            </c:strRef>
          </c:cat>
          <c:val>
            <c:numRef>
              <c:f>Sheet2!$F$87:$F$90</c:f>
              <c:numCache>
                <c:formatCode>General</c:formatCode>
                <c:ptCount val="4"/>
                <c:pt idx="0">
                  <c:v>53.6</c:v>
                </c:pt>
                <c:pt idx="1">
                  <c:v>66.099999999999994</c:v>
                </c:pt>
                <c:pt idx="2">
                  <c:v>77.7</c:v>
                </c:pt>
                <c:pt idx="3">
                  <c:v>57.5</c:v>
                </c:pt>
              </c:numCache>
            </c:numRef>
          </c:val>
          <c:extLst>
            <c:ext xmlns:c16="http://schemas.microsoft.com/office/drawing/2014/chart" uri="{C3380CC4-5D6E-409C-BE32-E72D297353CC}">
              <c16:uniqueId val="{00000000-CEBE-477A-9D72-FF792C98AD11}"/>
            </c:ext>
          </c:extLst>
        </c:ser>
        <c:ser>
          <c:idx val="1"/>
          <c:order val="1"/>
          <c:tx>
            <c:strRef>
              <c:f>Sheet2!$G$86</c:f>
              <c:strCache>
                <c:ptCount val="1"/>
                <c:pt idx="0">
                  <c:v>Limba Romana</c:v>
                </c:pt>
              </c:strCache>
            </c:strRef>
          </c:tx>
          <c:spPr>
            <a:solidFill>
              <a:srgbClr val="FF0000"/>
            </a:solidFill>
          </c:spPr>
          <c:invertIfNegative val="0"/>
          <c:dLbls>
            <c:spPr>
              <a:noFill/>
              <a:ln>
                <a:noFill/>
              </a:ln>
              <a:effectLst/>
            </c:spPr>
            <c:txPr>
              <a:bodyPr/>
              <a:lstStyle/>
              <a:p>
                <a:pPr>
                  <a:defRPr lang="ro-RO"/>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Sheet2!$E$87:$E$90</c:f>
              <c:strCache>
                <c:ptCount val="4"/>
                <c:pt idx="0">
                  <c:v>Scoala profesionala</c:v>
                </c:pt>
                <c:pt idx="1">
                  <c:v>Colegiu</c:v>
                </c:pt>
                <c:pt idx="2">
                  <c:v>Universitate</c:v>
                </c:pt>
                <c:pt idx="3">
                  <c:v>Nu stiu </c:v>
                </c:pt>
              </c:strCache>
            </c:strRef>
          </c:cat>
          <c:val>
            <c:numRef>
              <c:f>Sheet2!$G$87:$G$90</c:f>
              <c:numCache>
                <c:formatCode>General</c:formatCode>
                <c:ptCount val="4"/>
                <c:pt idx="0">
                  <c:v>50.3</c:v>
                </c:pt>
                <c:pt idx="1">
                  <c:v>63.8</c:v>
                </c:pt>
                <c:pt idx="2">
                  <c:v>75.099999999999994</c:v>
                </c:pt>
                <c:pt idx="3">
                  <c:v>53.9</c:v>
                </c:pt>
              </c:numCache>
            </c:numRef>
          </c:val>
          <c:extLst>
            <c:ext xmlns:c16="http://schemas.microsoft.com/office/drawing/2014/chart" uri="{C3380CC4-5D6E-409C-BE32-E72D297353CC}">
              <c16:uniqueId val="{00000001-CEBE-477A-9D72-FF792C98AD11}"/>
            </c:ext>
          </c:extLst>
        </c:ser>
        <c:dLbls>
          <c:showLegendKey val="0"/>
          <c:showVal val="0"/>
          <c:showCatName val="0"/>
          <c:showSerName val="0"/>
          <c:showPercent val="0"/>
          <c:showBubbleSize val="0"/>
        </c:dLbls>
        <c:gapWidth val="75"/>
        <c:overlap val="-25"/>
        <c:axId val="56867840"/>
        <c:axId val="56902400"/>
      </c:barChart>
      <c:catAx>
        <c:axId val="56867840"/>
        <c:scaling>
          <c:orientation val="minMax"/>
        </c:scaling>
        <c:delete val="0"/>
        <c:axPos val="b"/>
        <c:numFmt formatCode="General" sourceLinked="0"/>
        <c:majorTickMark val="none"/>
        <c:minorTickMark val="none"/>
        <c:tickLblPos val="nextTo"/>
        <c:txPr>
          <a:bodyPr/>
          <a:lstStyle/>
          <a:p>
            <a:pPr>
              <a:defRPr lang="ro-RO" sz="900"/>
            </a:pPr>
            <a:endParaRPr lang="ro-RO"/>
          </a:p>
        </c:txPr>
        <c:crossAx val="56902400"/>
        <c:crosses val="autoZero"/>
        <c:auto val="1"/>
        <c:lblAlgn val="ctr"/>
        <c:lblOffset val="100"/>
        <c:noMultiLvlLbl val="0"/>
      </c:catAx>
      <c:valAx>
        <c:axId val="56902400"/>
        <c:scaling>
          <c:orientation val="minMax"/>
        </c:scaling>
        <c:delete val="0"/>
        <c:axPos val="l"/>
        <c:majorGridlines/>
        <c:numFmt formatCode="General" sourceLinked="1"/>
        <c:majorTickMark val="none"/>
        <c:minorTickMark val="none"/>
        <c:tickLblPos val="nextTo"/>
        <c:txPr>
          <a:bodyPr/>
          <a:lstStyle/>
          <a:p>
            <a:pPr>
              <a:defRPr lang="ro-RO"/>
            </a:pPr>
            <a:endParaRPr lang="ro-RO"/>
          </a:p>
        </c:txPr>
        <c:crossAx val="56867840"/>
        <c:crosses val="autoZero"/>
        <c:crossBetween val="between"/>
      </c:valAx>
    </c:plotArea>
    <c:legend>
      <c:legendPos val="b"/>
      <c:overlay val="0"/>
      <c:txPr>
        <a:bodyPr/>
        <a:lstStyle/>
        <a:p>
          <a:pPr>
            <a:defRPr lang="ro-RO"/>
          </a:pPr>
          <a:endParaRPr lang="ro-RO"/>
        </a:p>
      </c:txPr>
    </c:legend>
    <c:plotVisOnly val="1"/>
    <c:dispBlanksAs val="gap"/>
    <c:showDLblsOverMax val="0"/>
  </c:chart>
  <c:spPr>
    <a:solidFill>
      <a:schemeClr val="lt1"/>
    </a:solidFill>
    <a:ln w="25400" cap="flat" cmpd="sng" algn="ctr">
      <a:solidFill>
        <a:schemeClr val="accent6"/>
      </a:solidFill>
      <a:prstDash val="solid"/>
    </a:ln>
    <a:effectLst/>
  </c:spPr>
  <c:txPr>
    <a:bodyPr/>
    <a:lstStyle/>
    <a:p>
      <a:pPr>
        <a:defRPr>
          <a:solidFill>
            <a:schemeClr val="dk1"/>
          </a:solidFill>
          <a:latin typeface="+mn-lt"/>
          <a:ea typeface="+mn-ea"/>
          <a:cs typeface="+mn-cs"/>
        </a:defRPr>
      </a:pPr>
      <a:endParaRPr lang="ro-RO"/>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292818930779933"/>
          <c:y val="0.15090227504474354"/>
          <c:w val="0.74848885734249926"/>
          <c:h val="0.78998971850711064"/>
        </c:manualLayout>
      </c:layout>
      <c:barChart>
        <c:barDir val="bar"/>
        <c:grouping val="clustered"/>
        <c:varyColors val="0"/>
        <c:ser>
          <c:idx val="0"/>
          <c:order val="0"/>
          <c:tx>
            <c:strRef>
              <c:f>Sheet2!$F$74</c:f>
              <c:strCache>
                <c:ptCount val="1"/>
                <c:pt idx="0">
                  <c:v>Limba Romana</c:v>
                </c:pt>
              </c:strCache>
            </c:strRef>
          </c:tx>
          <c:invertIfNegative val="0"/>
          <c:dLbls>
            <c:spPr>
              <a:noFill/>
              <a:ln>
                <a:noFill/>
              </a:ln>
              <a:effectLst/>
            </c:spPr>
            <c:txPr>
              <a:bodyPr/>
              <a:lstStyle/>
              <a:p>
                <a:pPr>
                  <a:defRPr lang="ro-RO"/>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Sheet2!$E$75:$E$82</c:f>
              <c:strCache>
                <c:ptCount val="8"/>
                <c:pt idx="0">
                  <c:v>Afaceri</c:v>
                </c:pt>
                <c:pt idx="1">
                  <c:v>Justitie</c:v>
                </c:pt>
                <c:pt idx="2">
                  <c:v>Contructii</c:v>
                </c:pt>
                <c:pt idx="3">
                  <c:v>Industrie</c:v>
                </c:pt>
                <c:pt idx="4">
                  <c:v>Sanatate</c:v>
                </c:pt>
                <c:pt idx="5">
                  <c:v>Educatie</c:v>
                </c:pt>
                <c:pt idx="6">
                  <c:v>Comert</c:v>
                </c:pt>
                <c:pt idx="7">
                  <c:v>Agricultura</c:v>
                </c:pt>
              </c:strCache>
            </c:strRef>
          </c:cat>
          <c:val>
            <c:numRef>
              <c:f>Sheet2!$F$75:$F$82</c:f>
              <c:numCache>
                <c:formatCode>General</c:formatCode>
                <c:ptCount val="8"/>
                <c:pt idx="0">
                  <c:v>68.7</c:v>
                </c:pt>
                <c:pt idx="1">
                  <c:v>73.2</c:v>
                </c:pt>
                <c:pt idx="2">
                  <c:v>52.1</c:v>
                </c:pt>
                <c:pt idx="3">
                  <c:v>63.2</c:v>
                </c:pt>
                <c:pt idx="4">
                  <c:v>73.3</c:v>
                </c:pt>
                <c:pt idx="5">
                  <c:v>71</c:v>
                </c:pt>
                <c:pt idx="6">
                  <c:v>64</c:v>
                </c:pt>
                <c:pt idx="7">
                  <c:v>51</c:v>
                </c:pt>
              </c:numCache>
            </c:numRef>
          </c:val>
          <c:extLst>
            <c:ext xmlns:c16="http://schemas.microsoft.com/office/drawing/2014/chart" uri="{C3380CC4-5D6E-409C-BE32-E72D297353CC}">
              <c16:uniqueId val="{00000000-51B9-41BA-AEAB-F903B6516D40}"/>
            </c:ext>
          </c:extLst>
        </c:ser>
        <c:ser>
          <c:idx val="1"/>
          <c:order val="1"/>
          <c:tx>
            <c:strRef>
              <c:f>Sheet2!$G$74</c:f>
              <c:strCache>
                <c:ptCount val="1"/>
                <c:pt idx="0">
                  <c:v>Matematica</c:v>
                </c:pt>
              </c:strCache>
            </c:strRef>
          </c:tx>
          <c:invertIfNegative val="0"/>
          <c:dLbls>
            <c:spPr>
              <a:noFill/>
              <a:ln>
                <a:noFill/>
              </a:ln>
              <a:effectLst/>
            </c:spPr>
            <c:txPr>
              <a:bodyPr/>
              <a:lstStyle/>
              <a:p>
                <a:pPr>
                  <a:defRPr lang="ro-RO"/>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Sheet2!$E$75:$E$82</c:f>
              <c:strCache>
                <c:ptCount val="8"/>
                <c:pt idx="0">
                  <c:v>Afaceri</c:v>
                </c:pt>
                <c:pt idx="1">
                  <c:v>Justitie</c:v>
                </c:pt>
                <c:pt idx="2">
                  <c:v>Contructii</c:v>
                </c:pt>
                <c:pt idx="3">
                  <c:v>Industrie</c:v>
                </c:pt>
                <c:pt idx="4">
                  <c:v>Sanatate</c:v>
                </c:pt>
                <c:pt idx="5">
                  <c:v>Educatie</c:v>
                </c:pt>
                <c:pt idx="6">
                  <c:v>Comert</c:v>
                </c:pt>
                <c:pt idx="7">
                  <c:v>Agricultura</c:v>
                </c:pt>
              </c:strCache>
            </c:strRef>
          </c:cat>
          <c:val>
            <c:numRef>
              <c:f>Sheet2!$G$75:$G$82</c:f>
              <c:numCache>
                <c:formatCode>General</c:formatCode>
                <c:ptCount val="8"/>
                <c:pt idx="0">
                  <c:v>72</c:v>
                </c:pt>
                <c:pt idx="1">
                  <c:v>73.900000000000006</c:v>
                </c:pt>
                <c:pt idx="2">
                  <c:v>57.1</c:v>
                </c:pt>
                <c:pt idx="3">
                  <c:v>65.8</c:v>
                </c:pt>
                <c:pt idx="4">
                  <c:v>76.099999999999994</c:v>
                </c:pt>
                <c:pt idx="5">
                  <c:v>70.5</c:v>
                </c:pt>
                <c:pt idx="6">
                  <c:v>67.900000000000006</c:v>
                </c:pt>
                <c:pt idx="7">
                  <c:v>55.9</c:v>
                </c:pt>
              </c:numCache>
            </c:numRef>
          </c:val>
          <c:extLst>
            <c:ext xmlns:c16="http://schemas.microsoft.com/office/drawing/2014/chart" uri="{C3380CC4-5D6E-409C-BE32-E72D297353CC}">
              <c16:uniqueId val="{00000001-51B9-41BA-AEAB-F903B6516D40}"/>
            </c:ext>
          </c:extLst>
        </c:ser>
        <c:dLbls>
          <c:showLegendKey val="0"/>
          <c:showVal val="1"/>
          <c:showCatName val="0"/>
          <c:showSerName val="0"/>
          <c:showPercent val="0"/>
          <c:showBubbleSize val="0"/>
        </c:dLbls>
        <c:gapWidth val="150"/>
        <c:overlap val="-25"/>
        <c:axId val="56919552"/>
        <c:axId val="56921088"/>
      </c:barChart>
      <c:catAx>
        <c:axId val="56919552"/>
        <c:scaling>
          <c:orientation val="minMax"/>
        </c:scaling>
        <c:delete val="0"/>
        <c:axPos val="l"/>
        <c:numFmt formatCode="General" sourceLinked="0"/>
        <c:majorTickMark val="none"/>
        <c:minorTickMark val="none"/>
        <c:tickLblPos val="nextTo"/>
        <c:txPr>
          <a:bodyPr/>
          <a:lstStyle/>
          <a:p>
            <a:pPr>
              <a:defRPr lang="ro-RO"/>
            </a:pPr>
            <a:endParaRPr lang="ro-RO"/>
          </a:p>
        </c:txPr>
        <c:crossAx val="56921088"/>
        <c:crosses val="autoZero"/>
        <c:auto val="1"/>
        <c:lblAlgn val="ctr"/>
        <c:lblOffset val="100"/>
        <c:noMultiLvlLbl val="0"/>
      </c:catAx>
      <c:valAx>
        <c:axId val="56921088"/>
        <c:scaling>
          <c:orientation val="minMax"/>
        </c:scaling>
        <c:delete val="1"/>
        <c:axPos val="b"/>
        <c:numFmt formatCode="General" sourceLinked="1"/>
        <c:majorTickMark val="out"/>
        <c:minorTickMark val="none"/>
        <c:tickLblPos val="none"/>
        <c:crossAx val="56919552"/>
        <c:crosses val="autoZero"/>
        <c:crossBetween val="between"/>
      </c:valAx>
    </c:plotArea>
    <c:legend>
      <c:legendPos val="t"/>
      <c:overlay val="0"/>
      <c:txPr>
        <a:bodyPr/>
        <a:lstStyle/>
        <a:p>
          <a:pPr>
            <a:defRPr lang="ro-RO"/>
          </a:pPr>
          <a:endParaRPr lang="ro-RO"/>
        </a:p>
      </c:txPr>
    </c:legend>
    <c:plotVisOnly val="1"/>
    <c:dispBlanksAs val="gap"/>
    <c:showDLblsOverMax val="0"/>
  </c:chart>
  <c:spPr>
    <a:solidFill>
      <a:schemeClr val="lt1"/>
    </a:solidFill>
    <a:ln w="25400" cap="flat" cmpd="sng" algn="ctr">
      <a:solidFill>
        <a:schemeClr val="accent6"/>
      </a:solidFill>
      <a:prstDash val="solid"/>
    </a:ln>
    <a:effectLst/>
  </c:spPr>
  <c:txPr>
    <a:bodyPr/>
    <a:lstStyle/>
    <a:p>
      <a:pPr>
        <a:defRPr sz="900">
          <a:solidFill>
            <a:schemeClr val="dk1"/>
          </a:solidFill>
          <a:latin typeface="+mn-lt"/>
          <a:ea typeface="+mn-ea"/>
          <a:cs typeface="+mn-cs"/>
        </a:defRPr>
      </a:pPr>
      <a:endParaRPr lang="ro-RO"/>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0"/>
    <c:plotArea>
      <c:layout>
        <c:manualLayout>
          <c:layoutTarget val="inner"/>
          <c:xMode val="edge"/>
          <c:yMode val="edge"/>
          <c:x val="0.10969662125567652"/>
          <c:y val="6.8407391774734302E-2"/>
          <c:w val="0.84374253218347794"/>
          <c:h val="0.51116043489018581"/>
        </c:manualLayout>
      </c:layout>
      <c:barChart>
        <c:barDir val="col"/>
        <c:grouping val="clustered"/>
        <c:varyColors val="0"/>
        <c:ser>
          <c:idx val="0"/>
          <c:order val="0"/>
          <c:tx>
            <c:strRef>
              <c:f>Sheet2!$E$117</c:f>
              <c:strCache>
                <c:ptCount val="1"/>
                <c:pt idx="0">
                  <c:v>urban</c:v>
                </c:pt>
              </c:strCache>
            </c:strRef>
          </c:tx>
          <c:invertIfNegative val="0"/>
          <c:dLbls>
            <c:spPr>
              <a:noFill/>
              <a:ln>
                <a:noFill/>
              </a:ln>
              <a:effectLst/>
            </c:spPr>
            <c:txPr>
              <a:bodyPr/>
              <a:lstStyle/>
              <a:p>
                <a:pPr>
                  <a:defRPr lang="ro-RO"/>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Sheet2!$D$118:$D$121</c:f>
              <c:strCache>
                <c:ptCount val="4"/>
                <c:pt idx="0">
                  <c:v>specialist cu nivel superior de calificare</c:v>
                </c:pt>
                <c:pt idx="1">
                  <c:v>specialisti cu nivel mediu de calificare</c:v>
                </c:pt>
                <c:pt idx="2">
                  <c:v>lucratori in servicii</c:v>
                </c:pt>
                <c:pt idx="3">
                  <c:v>muncitori calificati in industrie</c:v>
                </c:pt>
              </c:strCache>
            </c:strRef>
          </c:cat>
          <c:val>
            <c:numRef>
              <c:f>Sheet2!$E$118:$E$121</c:f>
              <c:numCache>
                <c:formatCode>General</c:formatCode>
                <c:ptCount val="4"/>
                <c:pt idx="0">
                  <c:v>55.5</c:v>
                </c:pt>
                <c:pt idx="1">
                  <c:v>5.3</c:v>
                </c:pt>
                <c:pt idx="2">
                  <c:v>7.8</c:v>
                </c:pt>
                <c:pt idx="3">
                  <c:v>3.5</c:v>
                </c:pt>
              </c:numCache>
            </c:numRef>
          </c:val>
          <c:extLst>
            <c:ext xmlns:c16="http://schemas.microsoft.com/office/drawing/2014/chart" uri="{C3380CC4-5D6E-409C-BE32-E72D297353CC}">
              <c16:uniqueId val="{00000000-BDE3-4C8A-8926-C7B86D2DC2E6}"/>
            </c:ext>
          </c:extLst>
        </c:ser>
        <c:ser>
          <c:idx val="1"/>
          <c:order val="1"/>
          <c:tx>
            <c:strRef>
              <c:f>Sheet2!$F$117</c:f>
              <c:strCache>
                <c:ptCount val="1"/>
                <c:pt idx="0">
                  <c:v>rural</c:v>
                </c:pt>
              </c:strCache>
            </c:strRef>
          </c:tx>
          <c:spPr>
            <a:solidFill>
              <a:schemeClr val="accent6">
                <a:lumMod val="75000"/>
              </a:schemeClr>
            </a:solidFill>
          </c:spPr>
          <c:invertIfNegative val="0"/>
          <c:dLbls>
            <c:spPr>
              <a:noFill/>
              <a:ln>
                <a:noFill/>
              </a:ln>
              <a:effectLst/>
            </c:spPr>
            <c:txPr>
              <a:bodyPr/>
              <a:lstStyle/>
              <a:p>
                <a:pPr>
                  <a:defRPr lang="ro-RO"/>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Sheet2!$D$118:$D$121</c:f>
              <c:strCache>
                <c:ptCount val="4"/>
                <c:pt idx="0">
                  <c:v>specialist cu nivel superior de calificare</c:v>
                </c:pt>
                <c:pt idx="1">
                  <c:v>specialisti cu nivel mediu de calificare</c:v>
                </c:pt>
                <c:pt idx="2">
                  <c:v>lucratori in servicii</c:v>
                </c:pt>
                <c:pt idx="3">
                  <c:v>muncitori calificati in industrie</c:v>
                </c:pt>
              </c:strCache>
            </c:strRef>
          </c:cat>
          <c:val>
            <c:numRef>
              <c:f>Sheet2!$F$118:$F$121</c:f>
              <c:numCache>
                <c:formatCode>General</c:formatCode>
                <c:ptCount val="4"/>
                <c:pt idx="0">
                  <c:v>37.6</c:v>
                </c:pt>
                <c:pt idx="1">
                  <c:v>3.7</c:v>
                </c:pt>
                <c:pt idx="2">
                  <c:v>14.9</c:v>
                </c:pt>
                <c:pt idx="3">
                  <c:v>12</c:v>
                </c:pt>
              </c:numCache>
            </c:numRef>
          </c:val>
          <c:extLst>
            <c:ext xmlns:c16="http://schemas.microsoft.com/office/drawing/2014/chart" uri="{C3380CC4-5D6E-409C-BE32-E72D297353CC}">
              <c16:uniqueId val="{00000001-BDE3-4C8A-8926-C7B86D2DC2E6}"/>
            </c:ext>
          </c:extLst>
        </c:ser>
        <c:dLbls>
          <c:showLegendKey val="0"/>
          <c:showVal val="0"/>
          <c:showCatName val="0"/>
          <c:showSerName val="0"/>
          <c:showPercent val="0"/>
          <c:showBubbleSize val="0"/>
        </c:dLbls>
        <c:gapWidth val="150"/>
        <c:axId val="60989440"/>
        <c:axId val="60990976"/>
      </c:barChart>
      <c:catAx>
        <c:axId val="60989440"/>
        <c:scaling>
          <c:orientation val="minMax"/>
        </c:scaling>
        <c:delete val="0"/>
        <c:axPos val="b"/>
        <c:numFmt formatCode="General" sourceLinked="0"/>
        <c:majorTickMark val="out"/>
        <c:minorTickMark val="none"/>
        <c:tickLblPos val="nextTo"/>
        <c:txPr>
          <a:bodyPr/>
          <a:lstStyle/>
          <a:p>
            <a:pPr>
              <a:defRPr lang="ro-RO" sz="900"/>
            </a:pPr>
            <a:endParaRPr lang="ro-RO"/>
          </a:p>
        </c:txPr>
        <c:crossAx val="60990976"/>
        <c:crosses val="autoZero"/>
        <c:auto val="1"/>
        <c:lblAlgn val="ctr"/>
        <c:lblOffset val="100"/>
        <c:noMultiLvlLbl val="0"/>
      </c:catAx>
      <c:valAx>
        <c:axId val="60990976"/>
        <c:scaling>
          <c:orientation val="minMax"/>
        </c:scaling>
        <c:delete val="0"/>
        <c:axPos val="l"/>
        <c:majorGridlines/>
        <c:numFmt formatCode="General" sourceLinked="1"/>
        <c:majorTickMark val="out"/>
        <c:minorTickMark val="none"/>
        <c:tickLblPos val="nextTo"/>
        <c:txPr>
          <a:bodyPr/>
          <a:lstStyle/>
          <a:p>
            <a:pPr>
              <a:defRPr lang="ro-RO"/>
            </a:pPr>
            <a:endParaRPr lang="ro-RO"/>
          </a:p>
        </c:txPr>
        <c:crossAx val="60989440"/>
        <c:crosses val="autoZero"/>
        <c:crossBetween val="between"/>
      </c:valAx>
    </c:plotArea>
    <c:legend>
      <c:legendPos val="b"/>
      <c:overlay val="0"/>
      <c:txPr>
        <a:bodyPr/>
        <a:lstStyle/>
        <a:p>
          <a:pPr>
            <a:defRPr lang="ro-RO"/>
          </a:pPr>
          <a:endParaRPr lang="ro-RO"/>
        </a:p>
      </c:txPr>
    </c:legend>
    <c:plotVisOnly val="1"/>
    <c:dispBlanksAs val="gap"/>
    <c:showDLblsOverMax val="0"/>
  </c:chart>
  <c:spPr>
    <a:solidFill>
      <a:schemeClr val="lt1"/>
    </a:solidFill>
    <a:ln w="25400" cap="flat" cmpd="sng" algn="ctr">
      <a:solidFill>
        <a:schemeClr val="accent6"/>
      </a:solidFill>
      <a:prstDash val="solid"/>
    </a:ln>
    <a:effectLst/>
  </c:spPr>
  <c:txPr>
    <a:bodyPr/>
    <a:lstStyle/>
    <a:p>
      <a:pPr>
        <a:defRPr>
          <a:solidFill>
            <a:schemeClr val="dk1"/>
          </a:solidFill>
          <a:latin typeface="+mn-lt"/>
          <a:ea typeface="+mn-ea"/>
          <a:cs typeface="+mn-cs"/>
        </a:defRPr>
      </a:pPr>
      <a:endParaRPr lang="ro-RO"/>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Sheet2!$E$100</c:f>
              <c:strCache>
                <c:ptCount val="1"/>
                <c:pt idx="0">
                  <c:v>baieti </c:v>
                </c:pt>
              </c:strCache>
            </c:strRef>
          </c:tx>
          <c:invertIfNegative val="0"/>
          <c:dLbls>
            <c:spPr>
              <a:noFill/>
              <a:ln>
                <a:noFill/>
              </a:ln>
              <a:effectLst/>
            </c:spPr>
            <c:txPr>
              <a:bodyPr/>
              <a:lstStyle/>
              <a:p>
                <a:pPr>
                  <a:defRPr lang="ro-RO"/>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Sheet2!$D$101:$D$104</c:f>
              <c:strCache>
                <c:ptCount val="4"/>
                <c:pt idx="0">
                  <c:v>specialist cu nivel superior de calificare</c:v>
                </c:pt>
                <c:pt idx="1">
                  <c:v>specialisti cu nivel mediu de calificare</c:v>
                </c:pt>
                <c:pt idx="2">
                  <c:v>lucratori in servicii</c:v>
                </c:pt>
                <c:pt idx="3">
                  <c:v>muncitori calificati in industrie</c:v>
                </c:pt>
              </c:strCache>
            </c:strRef>
          </c:cat>
          <c:val>
            <c:numRef>
              <c:f>Sheet2!$E$101:$E$104</c:f>
              <c:numCache>
                <c:formatCode>General</c:formatCode>
                <c:ptCount val="4"/>
                <c:pt idx="0">
                  <c:v>35.9</c:v>
                </c:pt>
                <c:pt idx="1">
                  <c:v>4.9000000000000004</c:v>
                </c:pt>
                <c:pt idx="2">
                  <c:v>3.5</c:v>
                </c:pt>
                <c:pt idx="3">
                  <c:v>15.2</c:v>
                </c:pt>
              </c:numCache>
            </c:numRef>
          </c:val>
          <c:extLst>
            <c:ext xmlns:c16="http://schemas.microsoft.com/office/drawing/2014/chart" uri="{C3380CC4-5D6E-409C-BE32-E72D297353CC}">
              <c16:uniqueId val="{00000000-2D2B-4603-BCA1-73F61460098E}"/>
            </c:ext>
          </c:extLst>
        </c:ser>
        <c:ser>
          <c:idx val="1"/>
          <c:order val="1"/>
          <c:tx>
            <c:strRef>
              <c:f>Sheet2!$F$100</c:f>
              <c:strCache>
                <c:ptCount val="1"/>
                <c:pt idx="0">
                  <c:v>fete</c:v>
                </c:pt>
              </c:strCache>
            </c:strRef>
          </c:tx>
          <c:invertIfNegative val="0"/>
          <c:dLbls>
            <c:spPr>
              <a:noFill/>
              <a:ln>
                <a:noFill/>
              </a:ln>
              <a:effectLst/>
            </c:spPr>
            <c:txPr>
              <a:bodyPr/>
              <a:lstStyle/>
              <a:p>
                <a:pPr>
                  <a:defRPr lang="ro-RO"/>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Sheet2!$D$101:$D$104</c:f>
              <c:strCache>
                <c:ptCount val="4"/>
                <c:pt idx="0">
                  <c:v>specialist cu nivel superior de calificare</c:v>
                </c:pt>
                <c:pt idx="1">
                  <c:v>specialisti cu nivel mediu de calificare</c:v>
                </c:pt>
                <c:pt idx="2">
                  <c:v>lucratori in servicii</c:v>
                </c:pt>
                <c:pt idx="3">
                  <c:v>muncitori calificati in industrie</c:v>
                </c:pt>
              </c:strCache>
            </c:strRef>
          </c:cat>
          <c:val>
            <c:numRef>
              <c:f>Sheet2!$F$101:$F$104</c:f>
              <c:numCache>
                <c:formatCode>General</c:formatCode>
                <c:ptCount val="4"/>
                <c:pt idx="0">
                  <c:v>43</c:v>
                </c:pt>
                <c:pt idx="1">
                  <c:v>7.6</c:v>
                </c:pt>
                <c:pt idx="2">
                  <c:v>16</c:v>
                </c:pt>
                <c:pt idx="3">
                  <c:v>2.2999999999999998</c:v>
                </c:pt>
              </c:numCache>
            </c:numRef>
          </c:val>
          <c:extLst>
            <c:ext xmlns:c16="http://schemas.microsoft.com/office/drawing/2014/chart" uri="{C3380CC4-5D6E-409C-BE32-E72D297353CC}">
              <c16:uniqueId val="{00000001-2D2B-4603-BCA1-73F61460098E}"/>
            </c:ext>
          </c:extLst>
        </c:ser>
        <c:dLbls>
          <c:showLegendKey val="0"/>
          <c:showVal val="1"/>
          <c:showCatName val="0"/>
          <c:showSerName val="0"/>
          <c:showPercent val="0"/>
          <c:showBubbleSize val="0"/>
        </c:dLbls>
        <c:gapWidth val="150"/>
        <c:overlap val="-25"/>
        <c:axId val="64002304"/>
        <c:axId val="65216512"/>
      </c:barChart>
      <c:catAx>
        <c:axId val="64002304"/>
        <c:scaling>
          <c:orientation val="minMax"/>
        </c:scaling>
        <c:delete val="0"/>
        <c:axPos val="b"/>
        <c:numFmt formatCode="General" sourceLinked="0"/>
        <c:majorTickMark val="none"/>
        <c:minorTickMark val="none"/>
        <c:tickLblPos val="nextTo"/>
        <c:txPr>
          <a:bodyPr/>
          <a:lstStyle/>
          <a:p>
            <a:pPr>
              <a:defRPr lang="ro-RO"/>
            </a:pPr>
            <a:endParaRPr lang="ro-RO"/>
          </a:p>
        </c:txPr>
        <c:crossAx val="65216512"/>
        <c:crosses val="autoZero"/>
        <c:auto val="1"/>
        <c:lblAlgn val="ctr"/>
        <c:lblOffset val="100"/>
        <c:noMultiLvlLbl val="0"/>
      </c:catAx>
      <c:valAx>
        <c:axId val="65216512"/>
        <c:scaling>
          <c:orientation val="minMax"/>
        </c:scaling>
        <c:delete val="1"/>
        <c:axPos val="l"/>
        <c:numFmt formatCode="General" sourceLinked="1"/>
        <c:majorTickMark val="out"/>
        <c:minorTickMark val="none"/>
        <c:tickLblPos val="none"/>
        <c:crossAx val="64002304"/>
        <c:crosses val="autoZero"/>
        <c:crossBetween val="between"/>
      </c:valAx>
    </c:plotArea>
    <c:legend>
      <c:legendPos val="t"/>
      <c:overlay val="0"/>
      <c:txPr>
        <a:bodyPr/>
        <a:lstStyle/>
        <a:p>
          <a:pPr>
            <a:defRPr lang="ro-RO"/>
          </a:pPr>
          <a:endParaRPr lang="ro-RO"/>
        </a:p>
      </c:txPr>
    </c:legend>
    <c:plotVisOnly val="1"/>
    <c:dispBlanksAs val="gap"/>
    <c:showDLblsOverMax val="0"/>
  </c:chart>
  <c:spPr>
    <a:solidFill>
      <a:schemeClr val="lt1"/>
    </a:solidFill>
    <a:ln w="25400" cap="flat" cmpd="sng" algn="ctr">
      <a:solidFill>
        <a:schemeClr val="accent6"/>
      </a:solidFill>
      <a:prstDash val="solid"/>
    </a:ln>
    <a:effectLst/>
  </c:spPr>
  <c:txPr>
    <a:bodyPr/>
    <a:lstStyle/>
    <a:p>
      <a:pPr>
        <a:defRPr sz="900">
          <a:solidFill>
            <a:schemeClr val="dk1"/>
          </a:solidFill>
          <a:latin typeface="+mn-lt"/>
          <a:ea typeface="+mn-ea"/>
          <a:cs typeface="+mn-cs"/>
        </a:defRPr>
      </a:pPr>
      <a:endParaRPr lang="ro-RO"/>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7EE7B79-658B-4869-98EA-39ADA18121A3}"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ro-RO"/>
        </a:p>
      </dgm:t>
    </dgm:pt>
    <dgm:pt modelId="{E8BA7B85-23D0-4FF2-BBC2-B358F9A0C8C5}">
      <dgm:prSet phldrT="[Text]" custT="1"/>
      <dgm:spPr/>
      <dgm:t>
        <a:bodyPr/>
        <a:lstStyle/>
        <a:p>
          <a:r>
            <a:rPr lang="ro-RO" sz="1200"/>
            <a:t>Relevanța de gen </a:t>
          </a:r>
        </a:p>
      </dgm:t>
    </dgm:pt>
    <dgm:pt modelId="{2598EC12-0F27-4E2F-B512-7C553B556F0E}" type="parTrans" cxnId="{D6496CDD-7383-45DA-A52B-AB89B49E3F2B}">
      <dgm:prSet/>
      <dgm:spPr/>
      <dgm:t>
        <a:bodyPr/>
        <a:lstStyle/>
        <a:p>
          <a:endParaRPr lang="ro-RO"/>
        </a:p>
      </dgm:t>
    </dgm:pt>
    <dgm:pt modelId="{1B872FB5-34A0-4464-96B8-EAF29EED010D}" type="sibTrans" cxnId="{D6496CDD-7383-45DA-A52B-AB89B49E3F2B}">
      <dgm:prSet/>
      <dgm:spPr/>
      <dgm:t>
        <a:bodyPr/>
        <a:lstStyle/>
        <a:p>
          <a:endParaRPr lang="ro-RO"/>
        </a:p>
      </dgm:t>
    </dgm:pt>
    <dgm:pt modelId="{51F90362-9A78-468C-A233-4C40A7690CBA}">
      <dgm:prSet phldrT="[Text]" custT="1"/>
      <dgm:spPr/>
      <dgm:t>
        <a:bodyPr/>
        <a:lstStyle/>
        <a:p>
          <a:r>
            <a:rPr lang="vi-VN" sz="1100">
              <a:latin typeface="Calibri" pitchFamily="34" charset="0"/>
              <a:cs typeface="Calibri" pitchFamily="34" charset="0"/>
            </a:rPr>
            <a:t>Indică cât de mult ar trebui să ne pese de inegalitatea de gen </a:t>
          </a:r>
          <a:r>
            <a:rPr lang="ro-RO" sz="1100">
              <a:latin typeface="Calibri" pitchFamily="34" charset="0"/>
              <a:cs typeface="Calibri" pitchFamily="34" charset="0"/>
            </a:rPr>
            <a:t>în efortul pe care îl depunem.</a:t>
          </a:r>
        </a:p>
      </dgm:t>
    </dgm:pt>
    <dgm:pt modelId="{E99117B8-B895-44B1-A582-9F6EE9449A3F}" type="parTrans" cxnId="{529CE15B-D54A-4F23-ABC2-4B5479E11B46}">
      <dgm:prSet/>
      <dgm:spPr/>
      <dgm:t>
        <a:bodyPr/>
        <a:lstStyle/>
        <a:p>
          <a:endParaRPr lang="ro-RO"/>
        </a:p>
      </dgm:t>
    </dgm:pt>
    <dgm:pt modelId="{E6650DBC-FFE4-4AA7-93C1-8BB49FE822DC}" type="sibTrans" cxnId="{529CE15B-D54A-4F23-ABC2-4B5479E11B46}">
      <dgm:prSet/>
      <dgm:spPr/>
      <dgm:t>
        <a:bodyPr/>
        <a:lstStyle/>
        <a:p>
          <a:endParaRPr lang="ro-RO"/>
        </a:p>
      </dgm:t>
    </dgm:pt>
    <dgm:pt modelId="{26A5A1B3-CC6C-4EFA-9B47-DB07146DF1E0}">
      <dgm:prSet phldrT="[Text]" custT="1"/>
      <dgm:spPr/>
      <dgm:t>
        <a:bodyPr/>
        <a:lstStyle/>
        <a:p>
          <a:r>
            <a:rPr lang="ro-RO" sz="1200"/>
            <a:t>Integrarea dimeniunii de gen</a:t>
          </a:r>
        </a:p>
      </dgm:t>
    </dgm:pt>
    <dgm:pt modelId="{9073FFDD-D7B7-4441-9078-402FD6B5DCD9}" type="parTrans" cxnId="{F31E4418-717C-4D36-A8C3-788FC6F8AB71}">
      <dgm:prSet/>
      <dgm:spPr/>
      <dgm:t>
        <a:bodyPr/>
        <a:lstStyle/>
        <a:p>
          <a:endParaRPr lang="ro-RO"/>
        </a:p>
      </dgm:t>
    </dgm:pt>
    <dgm:pt modelId="{C3F7D79B-C74C-44B3-893B-689FDAAD774E}" type="sibTrans" cxnId="{F31E4418-717C-4D36-A8C3-788FC6F8AB71}">
      <dgm:prSet/>
      <dgm:spPr/>
      <dgm:t>
        <a:bodyPr/>
        <a:lstStyle/>
        <a:p>
          <a:endParaRPr lang="ro-RO"/>
        </a:p>
      </dgm:t>
    </dgm:pt>
    <dgm:pt modelId="{8819EAF1-CCC7-44E2-9D67-4252B1D82955}">
      <dgm:prSet phldrT="[Text]" custT="1"/>
      <dgm:spPr/>
      <dgm:t>
        <a:bodyPr/>
        <a:lstStyle/>
        <a:p>
          <a:r>
            <a:rPr lang="vi-VN" sz="1100">
              <a:latin typeface="Calibri" pitchFamily="34" charset="0"/>
              <a:cs typeface="Calibri" pitchFamily="34" charset="0"/>
            </a:rPr>
            <a:t>Indică nivelul efortului, resursele și atenția deosebită pe care trebuie să </a:t>
          </a:r>
          <a:r>
            <a:rPr lang="ro-RO" sz="1100">
              <a:latin typeface="Calibri" pitchFamily="34" charset="0"/>
              <a:cs typeface="Calibri" pitchFamily="34" charset="0"/>
            </a:rPr>
            <a:t>le investim </a:t>
          </a:r>
          <a:r>
            <a:rPr lang="vi-VN" sz="1100">
              <a:latin typeface="Calibri" pitchFamily="34" charset="0"/>
              <a:cs typeface="Calibri" pitchFamily="34" charset="0"/>
            </a:rPr>
            <a:t>pentru a aborda inegalitățile de gen. </a:t>
          </a:r>
          <a:endParaRPr lang="ro-RO" sz="1100">
            <a:latin typeface="Calibri" pitchFamily="34" charset="0"/>
            <a:cs typeface="Calibri" pitchFamily="34" charset="0"/>
          </a:endParaRPr>
        </a:p>
      </dgm:t>
    </dgm:pt>
    <dgm:pt modelId="{D15B3DC4-B088-4EC1-A2C9-90C74D52CACD}" type="parTrans" cxnId="{B4353AA3-46C6-4D0C-AD83-06CD86708A88}">
      <dgm:prSet/>
      <dgm:spPr/>
      <dgm:t>
        <a:bodyPr/>
        <a:lstStyle/>
        <a:p>
          <a:endParaRPr lang="ro-RO"/>
        </a:p>
      </dgm:t>
    </dgm:pt>
    <dgm:pt modelId="{6B60FD6B-4711-4017-B769-EF9E811CC733}" type="sibTrans" cxnId="{B4353AA3-46C6-4D0C-AD83-06CD86708A88}">
      <dgm:prSet/>
      <dgm:spPr/>
      <dgm:t>
        <a:bodyPr/>
        <a:lstStyle/>
        <a:p>
          <a:endParaRPr lang="ro-RO"/>
        </a:p>
      </dgm:t>
    </dgm:pt>
    <dgm:pt modelId="{68D92316-848A-494E-92FC-ABD01A3F2781}">
      <dgm:prSet phldrT="[Text]" custT="1"/>
      <dgm:spPr/>
      <dgm:t>
        <a:bodyPr/>
        <a:lstStyle/>
        <a:p>
          <a:r>
            <a:rPr lang="vi-VN" sz="1100">
              <a:latin typeface="Calibri" pitchFamily="34" charset="0"/>
              <a:cs typeface="Calibri" pitchFamily="34" charset="0"/>
            </a:rPr>
            <a:t>Se bazează pe nivelurile inegalității de gen din acest sector</a:t>
          </a:r>
          <a:r>
            <a:rPr lang="ro-RO" sz="1100">
              <a:latin typeface="Calibri" pitchFamily="34" charset="0"/>
              <a:cs typeface="Calibri" pitchFamily="34" charset="0"/>
            </a:rPr>
            <a:t>.</a:t>
          </a:r>
        </a:p>
      </dgm:t>
    </dgm:pt>
    <dgm:pt modelId="{6370E3C4-09FD-4CFD-8CE4-679ACC7DE904}" type="parTrans" cxnId="{FC884F9B-F14B-48E7-8B50-342E5224C9C3}">
      <dgm:prSet/>
      <dgm:spPr/>
      <dgm:t>
        <a:bodyPr/>
        <a:lstStyle/>
        <a:p>
          <a:endParaRPr lang="ro-RO"/>
        </a:p>
      </dgm:t>
    </dgm:pt>
    <dgm:pt modelId="{EDE4C38B-45E4-4DBD-B3E9-084E28A724BD}" type="sibTrans" cxnId="{FC884F9B-F14B-48E7-8B50-342E5224C9C3}">
      <dgm:prSet/>
      <dgm:spPr/>
      <dgm:t>
        <a:bodyPr/>
        <a:lstStyle/>
        <a:p>
          <a:endParaRPr lang="ro-RO"/>
        </a:p>
      </dgm:t>
    </dgm:pt>
    <dgm:pt modelId="{6371640E-354C-45EB-B850-D5E12BE450BB}">
      <dgm:prSet phldrT="[Text]" custT="1"/>
      <dgm:spPr/>
      <dgm:t>
        <a:bodyPr/>
        <a:lstStyle/>
        <a:p>
          <a:r>
            <a:rPr lang="vi-VN" sz="1100">
              <a:latin typeface="Calibri" pitchFamily="34" charset="0"/>
              <a:cs typeface="Calibri" pitchFamily="34" charset="0"/>
            </a:rPr>
            <a:t>Ar trebui să fie proporțională cu inegalitățile de gen din acest sector (relevanța gender)</a:t>
          </a:r>
          <a:r>
            <a:rPr lang="ro-RO" sz="1100">
              <a:latin typeface="Calibri" pitchFamily="34" charset="0"/>
              <a:cs typeface="Calibri" pitchFamily="34" charset="0"/>
            </a:rPr>
            <a:t>.</a:t>
          </a:r>
        </a:p>
      </dgm:t>
    </dgm:pt>
    <dgm:pt modelId="{57CBC95F-0D46-4CE3-A24A-90364EAB16EF}" type="parTrans" cxnId="{674862F5-368A-4A74-9AD7-12E7E884DC80}">
      <dgm:prSet/>
      <dgm:spPr/>
      <dgm:t>
        <a:bodyPr/>
        <a:lstStyle/>
        <a:p>
          <a:endParaRPr lang="ro-RO"/>
        </a:p>
      </dgm:t>
    </dgm:pt>
    <dgm:pt modelId="{5402ECC9-16EF-409D-9577-7629E3C23E83}" type="sibTrans" cxnId="{674862F5-368A-4A74-9AD7-12E7E884DC80}">
      <dgm:prSet/>
      <dgm:spPr/>
      <dgm:t>
        <a:bodyPr/>
        <a:lstStyle/>
        <a:p>
          <a:endParaRPr lang="ro-RO"/>
        </a:p>
      </dgm:t>
    </dgm:pt>
    <dgm:pt modelId="{3051F403-3FD6-47C4-984A-775D508F93D2}" type="pres">
      <dgm:prSet presAssocID="{47EE7B79-658B-4869-98EA-39ADA18121A3}" presName="Name0" presStyleCnt="0">
        <dgm:presLayoutVars>
          <dgm:dir/>
          <dgm:animLvl val="lvl"/>
          <dgm:resizeHandles val="exact"/>
        </dgm:presLayoutVars>
      </dgm:prSet>
      <dgm:spPr/>
    </dgm:pt>
    <dgm:pt modelId="{5240C1CC-EE21-446C-A7A0-D074F0E97697}" type="pres">
      <dgm:prSet presAssocID="{E8BA7B85-23D0-4FF2-BBC2-B358F9A0C8C5}" presName="composite" presStyleCnt="0"/>
      <dgm:spPr/>
    </dgm:pt>
    <dgm:pt modelId="{5D5715BB-F632-4DA8-AAF7-2DA47ED2AA9B}" type="pres">
      <dgm:prSet presAssocID="{E8BA7B85-23D0-4FF2-BBC2-B358F9A0C8C5}" presName="parTx" presStyleLbl="alignNode1" presStyleIdx="0" presStyleCnt="2" custLinFactNeighborX="-1" custLinFactNeighborY="-786">
        <dgm:presLayoutVars>
          <dgm:chMax val="0"/>
          <dgm:chPref val="0"/>
          <dgm:bulletEnabled val="1"/>
        </dgm:presLayoutVars>
      </dgm:prSet>
      <dgm:spPr/>
    </dgm:pt>
    <dgm:pt modelId="{90AB243A-D026-458D-AD60-4F07A9450F50}" type="pres">
      <dgm:prSet presAssocID="{E8BA7B85-23D0-4FF2-BBC2-B358F9A0C8C5}" presName="desTx" presStyleLbl="alignAccFollowNode1" presStyleIdx="0" presStyleCnt="2">
        <dgm:presLayoutVars>
          <dgm:bulletEnabled val="1"/>
        </dgm:presLayoutVars>
      </dgm:prSet>
      <dgm:spPr/>
    </dgm:pt>
    <dgm:pt modelId="{92F22C47-2360-4FF0-8485-19F307071942}" type="pres">
      <dgm:prSet presAssocID="{1B872FB5-34A0-4464-96B8-EAF29EED010D}" presName="space" presStyleCnt="0"/>
      <dgm:spPr/>
    </dgm:pt>
    <dgm:pt modelId="{DBA4FB4D-4F27-4A62-A77B-5C07764AEEEE}" type="pres">
      <dgm:prSet presAssocID="{26A5A1B3-CC6C-4EFA-9B47-DB07146DF1E0}" presName="composite" presStyleCnt="0"/>
      <dgm:spPr/>
    </dgm:pt>
    <dgm:pt modelId="{C288038B-856F-4FD0-B3D2-8A3631D6D332}" type="pres">
      <dgm:prSet presAssocID="{26A5A1B3-CC6C-4EFA-9B47-DB07146DF1E0}" presName="parTx" presStyleLbl="alignNode1" presStyleIdx="1" presStyleCnt="2">
        <dgm:presLayoutVars>
          <dgm:chMax val="0"/>
          <dgm:chPref val="0"/>
          <dgm:bulletEnabled val="1"/>
        </dgm:presLayoutVars>
      </dgm:prSet>
      <dgm:spPr/>
    </dgm:pt>
    <dgm:pt modelId="{8C678863-B64D-4D5E-B76B-B98BD205167C}" type="pres">
      <dgm:prSet presAssocID="{26A5A1B3-CC6C-4EFA-9B47-DB07146DF1E0}" presName="desTx" presStyleLbl="alignAccFollowNode1" presStyleIdx="1" presStyleCnt="2" custLinFactNeighborX="1" custLinFactNeighborY="1750">
        <dgm:presLayoutVars>
          <dgm:bulletEnabled val="1"/>
        </dgm:presLayoutVars>
      </dgm:prSet>
      <dgm:spPr/>
    </dgm:pt>
  </dgm:ptLst>
  <dgm:cxnLst>
    <dgm:cxn modelId="{F31E4418-717C-4D36-A8C3-788FC6F8AB71}" srcId="{47EE7B79-658B-4869-98EA-39ADA18121A3}" destId="{26A5A1B3-CC6C-4EFA-9B47-DB07146DF1E0}" srcOrd="1" destOrd="0" parTransId="{9073FFDD-D7B7-4441-9078-402FD6B5DCD9}" sibTransId="{C3F7D79B-C74C-44B3-893B-689FDAAD774E}"/>
    <dgm:cxn modelId="{529CE15B-D54A-4F23-ABC2-4B5479E11B46}" srcId="{E8BA7B85-23D0-4FF2-BBC2-B358F9A0C8C5}" destId="{51F90362-9A78-468C-A233-4C40A7690CBA}" srcOrd="0" destOrd="0" parTransId="{E99117B8-B895-44B1-A582-9F6EE9449A3F}" sibTransId="{E6650DBC-FFE4-4AA7-93C1-8BB49FE822DC}"/>
    <dgm:cxn modelId="{33635480-858B-4760-A0CF-8AFB5F54E162}" type="presOf" srcId="{47EE7B79-658B-4869-98EA-39ADA18121A3}" destId="{3051F403-3FD6-47C4-984A-775D508F93D2}" srcOrd="0" destOrd="0" presId="urn:microsoft.com/office/officeart/2005/8/layout/hList1"/>
    <dgm:cxn modelId="{72318A90-C2EF-4BC8-B443-2DB1584B6A18}" type="presOf" srcId="{8819EAF1-CCC7-44E2-9D67-4252B1D82955}" destId="{8C678863-B64D-4D5E-B76B-B98BD205167C}" srcOrd="0" destOrd="0" presId="urn:microsoft.com/office/officeart/2005/8/layout/hList1"/>
    <dgm:cxn modelId="{FC884F9B-F14B-48E7-8B50-342E5224C9C3}" srcId="{E8BA7B85-23D0-4FF2-BBC2-B358F9A0C8C5}" destId="{68D92316-848A-494E-92FC-ABD01A3F2781}" srcOrd="1" destOrd="0" parTransId="{6370E3C4-09FD-4CFD-8CE4-679ACC7DE904}" sibTransId="{EDE4C38B-45E4-4DBD-B3E9-084E28A724BD}"/>
    <dgm:cxn modelId="{9EDD3BA1-09B2-4B02-BA06-7A44B1306E56}" type="presOf" srcId="{26A5A1B3-CC6C-4EFA-9B47-DB07146DF1E0}" destId="{C288038B-856F-4FD0-B3D2-8A3631D6D332}" srcOrd="0" destOrd="0" presId="urn:microsoft.com/office/officeart/2005/8/layout/hList1"/>
    <dgm:cxn modelId="{B4353AA3-46C6-4D0C-AD83-06CD86708A88}" srcId="{26A5A1B3-CC6C-4EFA-9B47-DB07146DF1E0}" destId="{8819EAF1-CCC7-44E2-9D67-4252B1D82955}" srcOrd="0" destOrd="0" parTransId="{D15B3DC4-B088-4EC1-A2C9-90C74D52CACD}" sibTransId="{6B60FD6B-4711-4017-B769-EF9E811CC733}"/>
    <dgm:cxn modelId="{5519D3B1-0872-4E5F-9432-4EF2300A7D20}" type="presOf" srcId="{68D92316-848A-494E-92FC-ABD01A3F2781}" destId="{90AB243A-D026-458D-AD60-4F07A9450F50}" srcOrd="0" destOrd="1" presId="urn:microsoft.com/office/officeart/2005/8/layout/hList1"/>
    <dgm:cxn modelId="{A4D7B4BC-2ABF-41C8-9D11-AA7E0C860CDD}" type="presOf" srcId="{6371640E-354C-45EB-B850-D5E12BE450BB}" destId="{8C678863-B64D-4D5E-B76B-B98BD205167C}" srcOrd="0" destOrd="1" presId="urn:microsoft.com/office/officeart/2005/8/layout/hList1"/>
    <dgm:cxn modelId="{2E7B23BE-AFCE-4AD1-92BC-717AF173D11A}" type="presOf" srcId="{51F90362-9A78-468C-A233-4C40A7690CBA}" destId="{90AB243A-D026-458D-AD60-4F07A9450F50}" srcOrd="0" destOrd="0" presId="urn:microsoft.com/office/officeart/2005/8/layout/hList1"/>
    <dgm:cxn modelId="{BAB52AC0-54C3-4BE7-9B50-5634474E39EF}" type="presOf" srcId="{E8BA7B85-23D0-4FF2-BBC2-B358F9A0C8C5}" destId="{5D5715BB-F632-4DA8-AAF7-2DA47ED2AA9B}" srcOrd="0" destOrd="0" presId="urn:microsoft.com/office/officeart/2005/8/layout/hList1"/>
    <dgm:cxn modelId="{D6496CDD-7383-45DA-A52B-AB89B49E3F2B}" srcId="{47EE7B79-658B-4869-98EA-39ADA18121A3}" destId="{E8BA7B85-23D0-4FF2-BBC2-B358F9A0C8C5}" srcOrd="0" destOrd="0" parTransId="{2598EC12-0F27-4E2F-B512-7C553B556F0E}" sibTransId="{1B872FB5-34A0-4464-96B8-EAF29EED010D}"/>
    <dgm:cxn modelId="{674862F5-368A-4A74-9AD7-12E7E884DC80}" srcId="{26A5A1B3-CC6C-4EFA-9B47-DB07146DF1E0}" destId="{6371640E-354C-45EB-B850-D5E12BE450BB}" srcOrd="1" destOrd="0" parTransId="{57CBC95F-0D46-4CE3-A24A-90364EAB16EF}" sibTransId="{5402ECC9-16EF-409D-9577-7629E3C23E83}"/>
    <dgm:cxn modelId="{E949CDE3-A669-43E1-8C1F-CBEF68E3B33C}" type="presParOf" srcId="{3051F403-3FD6-47C4-984A-775D508F93D2}" destId="{5240C1CC-EE21-446C-A7A0-D074F0E97697}" srcOrd="0" destOrd="0" presId="urn:microsoft.com/office/officeart/2005/8/layout/hList1"/>
    <dgm:cxn modelId="{792500DB-ED93-43A2-AB59-A9E3C7F75CAA}" type="presParOf" srcId="{5240C1CC-EE21-446C-A7A0-D074F0E97697}" destId="{5D5715BB-F632-4DA8-AAF7-2DA47ED2AA9B}" srcOrd="0" destOrd="0" presId="urn:microsoft.com/office/officeart/2005/8/layout/hList1"/>
    <dgm:cxn modelId="{9403E3F0-BF81-4A13-88E8-E15434D1FE84}" type="presParOf" srcId="{5240C1CC-EE21-446C-A7A0-D074F0E97697}" destId="{90AB243A-D026-458D-AD60-4F07A9450F50}" srcOrd="1" destOrd="0" presId="urn:microsoft.com/office/officeart/2005/8/layout/hList1"/>
    <dgm:cxn modelId="{144164AB-A1F5-42A1-97F4-9A3052FFB90C}" type="presParOf" srcId="{3051F403-3FD6-47C4-984A-775D508F93D2}" destId="{92F22C47-2360-4FF0-8485-19F307071942}" srcOrd="1" destOrd="0" presId="urn:microsoft.com/office/officeart/2005/8/layout/hList1"/>
    <dgm:cxn modelId="{04898858-2077-4BE5-B433-4A924BE800B7}" type="presParOf" srcId="{3051F403-3FD6-47C4-984A-775D508F93D2}" destId="{DBA4FB4D-4F27-4A62-A77B-5C07764AEEEE}" srcOrd="2" destOrd="0" presId="urn:microsoft.com/office/officeart/2005/8/layout/hList1"/>
    <dgm:cxn modelId="{3B6E6FE9-1655-488B-99F1-6A0E7B10D3C3}" type="presParOf" srcId="{DBA4FB4D-4F27-4A62-A77B-5C07764AEEEE}" destId="{C288038B-856F-4FD0-B3D2-8A3631D6D332}" srcOrd="0" destOrd="0" presId="urn:microsoft.com/office/officeart/2005/8/layout/hList1"/>
    <dgm:cxn modelId="{65E4ADD7-B503-4FA6-97E6-EC61A4C0D413}" type="presParOf" srcId="{DBA4FB4D-4F27-4A62-A77B-5C07764AEEEE}" destId="{8C678863-B64D-4D5E-B76B-B98BD205167C}" srcOrd="1" destOrd="0" presId="urn:microsoft.com/office/officeart/2005/8/layout/hLis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5715BB-F632-4DA8-AAF7-2DA47ED2AA9B}">
      <dsp:nvSpPr>
        <dsp:cNvPr id="0" name=""/>
        <dsp:cNvSpPr/>
      </dsp:nvSpPr>
      <dsp:spPr>
        <a:xfrm>
          <a:off x="1" y="0"/>
          <a:ext cx="2562423" cy="7200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marL="0" lvl="0" indent="0" algn="ctr" defTabSz="533400">
            <a:lnSpc>
              <a:spcPct val="90000"/>
            </a:lnSpc>
            <a:spcBef>
              <a:spcPct val="0"/>
            </a:spcBef>
            <a:spcAft>
              <a:spcPct val="35000"/>
            </a:spcAft>
            <a:buNone/>
          </a:pPr>
          <a:r>
            <a:rPr lang="ro-RO" sz="1200" kern="1200"/>
            <a:t>Relevanța de gen </a:t>
          </a:r>
        </a:p>
      </dsp:txBody>
      <dsp:txXfrm>
        <a:off x="1" y="0"/>
        <a:ext cx="2562423" cy="720000"/>
      </dsp:txXfrm>
    </dsp:sp>
    <dsp:sp modelId="{90AB243A-D026-458D-AD60-4F07A9450F50}">
      <dsp:nvSpPr>
        <dsp:cNvPr id="0" name=""/>
        <dsp:cNvSpPr/>
      </dsp:nvSpPr>
      <dsp:spPr>
        <a:xfrm>
          <a:off x="26" y="723107"/>
          <a:ext cx="2562423" cy="1269562"/>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vi-VN" sz="1100" kern="1200">
              <a:latin typeface="Calibri" pitchFamily="34" charset="0"/>
              <a:cs typeface="Calibri" pitchFamily="34" charset="0"/>
            </a:rPr>
            <a:t>Indică cât de mult ar trebui să ne pese de inegalitatea de gen </a:t>
          </a:r>
          <a:r>
            <a:rPr lang="ro-RO" sz="1100" kern="1200">
              <a:latin typeface="Calibri" pitchFamily="34" charset="0"/>
              <a:cs typeface="Calibri" pitchFamily="34" charset="0"/>
            </a:rPr>
            <a:t>în efortul pe care îl depunem.</a:t>
          </a:r>
        </a:p>
        <a:p>
          <a:pPr marL="57150" lvl="1" indent="-57150" algn="l" defTabSz="488950">
            <a:lnSpc>
              <a:spcPct val="90000"/>
            </a:lnSpc>
            <a:spcBef>
              <a:spcPct val="0"/>
            </a:spcBef>
            <a:spcAft>
              <a:spcPct val="15000"/>
            </a:spcAft>
            <a:buChar char="•"/>
          </a:pPr>
          <a:r>
            <a:rPr lang="vi-VN" sz="1100" kern="1200">
              <a:latin typeface="Calibri" pitchFamily="34" charset="0"/>
              <a:cs typeface="Calibri" pitchFamily="34" charset="0"/>
            </a:rPr>
            <a:t>Se bazează pe nivelurile inegalității de gen din acest sector</a:t>
          </a:r>
          <a:r>
            <a:rPr lang="ro-RO" sz="1100" kern="1200">
              <a:latin typeface="Calibri" pitchFamily="34" charset="0"/>
              <a:cs typeface="Calibri" pitchFamily="34" charset="0"/>
            </a:rPr>
            <a:t>.</a:t>
          </a:r>
        </a:p>
      </dsp:txBody>
      <dsp:txXfrm>
        <a:off x="26" y="723107"/>
        <a:ext cx="2562423" cy="1269562"/>
      </dsp:txXfrm>
    </dsp:sp>
    <dsp:sp modelId="{C288038B-856F-4FD0-B3D2-8A3631D6D332}">
      <dsp:nvSpPr>
        <dsp:cNvPr id="0" name=""/>
        <dsp:cNvSpPr/>
      </dsp:nvSpPr>
      <dsp:spPr>
        <a:xfrm>
          <a:off x="2921189" y="3107"/>
          <a:ext cx="2562423" cy="7200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marL="0" lvl="0" indent="0" algn="ctr" defTabSz="533400">
            <a:lnSpc>
              <a:spcPct val="90000"/>
            </a:lnSpc>
            <a:spcBef>
              <a:spcPct val="0"/>
            </a:spcBef>
            <a:spcAft>
              <a:spcPct val="35000"/>
            </a:spcAft>
            <a:buNone/>
          </a:pPr>
          <a:r>
            <a:rPr lang="ro-RO" sz="1200" kern="1200"/>
            <a:t>Integrarea dimeniunii de gen</a:t>
          </a:r>
        </a:p>
      </dsp:txBody>
      <dsp:txXfrm>
        <a:off x="2921189" y="3107"/>
        <a:ext cx="2562423" cy="720000"/>
      </dsp:txXfrm>
    </dsp:sp>
    <dsp:sp modelId="{8C678863-B64D-4D5E-B76B-B98BD205167C}">
      <dsp:nvSpPr>
        <dsp:cNvPr id="0" name=""/>
        <dsp:cNvSpPr/>
      </dsp:nvSpPr>
      <dsp:spPr>
        <a:xfrm>
          <a:off x="2921215" y="726214"/>
          <a:ext cx="2562423" cy="1269562"/>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vi-VN" sz="1100" kern="1200">
              <a:latin typeface="Calibri" pitchFamily="34" charset="0"/>
              <a:cs typeface="Calibri" pitchFamily="34" charset="0"/>
            </a:rPr>
            <a:t>Indică nivelul efortului, resursele și atenția deosebită pe care trebuie să </a:t>
          </a:r>
          <a:r>
            <a:rPr lang="ro-RO" sz="1100" kern="1200">
              <a:latin typeface="Calibri" pitchFamily="34" charset="0"/>
              <a:cs typeface="Calibri" pitchFamily="34" charset="0"/>
            </a:rPr>
            <a:t>le investim </a:t>
          </a:r>
          <a:r>
            <a:rPr lang="vi-VN" sz="1100" kern="1200">
              <a:latin typeface="Calibri" pitchFamily="34" charset="0"/>
              <a:cs typeface="Calibri" pitchFamily="34" charset="0"/>
            </a:rPr>
            <a:t>pentru a aborda inegalitățile de gen. </a:t>
          </a:r>
          <a:endParaRPr lang="ro-RO" sz="1100" kern="1200">
            <a:latin typeface="Calibri" pitchFamily="34" charset="0"/>
            <a:cs typeface="Calibri" pitchFamily="34" charset="0"/>
          </a:endParaRPr>
        </a:p>
        <a:p>
          <a:pPr marL="57150" lvl="1" indent="-57150" algn="l" defTabSz="488950">
            <a:lnSpc>
              <a:spcPct val="90000"/>
            </a:lnSpc>
            <a:spcBef>
              <a:spcPct val="0"/>
            </a:spcBef>
            <a:spcAft>
              <a:spcPct val="15000"/>
            </a:spcAft>
            <a:buChar char="•"/>
          </a:pPr>
          <a:r>
            <a:rPr lang="vi-VN" sz="1100" kern="1200">
              <a:latin typeface="Calibri" pitchFamily="34" charset="0"/>
              <a:cs typeface="Calibri" pitchFamily="34" charset="0"/>
            </a:rPr>
            <a:t>Ar trebui să fie proporțională cu inegalitățile de gen din acest sector (relevanța gender)</a:t>
          </a:r>
          <a:r>
            <a:rPr lang="ro-RO" sz="1100" kern="1200">
              <a:latin typeface="Calibri" pitchFamily="34" charset="0"/>
              <a:cs typeface="Calibri" pitchFamily="34" charset="0"/>
            </a:rPr>
            <a:t>.</a:t>
          </a:r>
        </a:p>
      </dsp:txBody>
      <dsp:txXfrm>
        <a:off x="2921215" y="726214"/>
        <a:ext cx="2562423" cy="1269562"/>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91F89A-237A-4B72-B71C-B4AE80016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3049</TotalTime>
  <Pages>17</Pages>
  <Words>4804</Words>
  <Characters>27865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RePack by SPecialiST</Company>
  <LinksUpToDate>false</LinksUpToDate>
  <CharactersWithSpaces>32604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Lia Sclifos</cp:lastModifiedBy>
  <cp:revision>17</cp:revision>
  <cp:lastPrinted>2017-10-29T14:11:00Z</cp:lastPrinted>
  <dcterms:created xsi:type="dcterms:W3CDTF">2017-10-27T08:25:00Z</dcterms:created>
  <dcterms:modified xsi:type="dcterms:W3CDTF">2019-05-27T07:51:00Z</dcterms:modified>
</cp:coreProperties>
</file>