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diagrams/data1.xml" ContentType="application/vnd.openxmlformats-officedocument.drawingml.diagramData+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charts/chart9.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notes.xml" ContentType="application/vnd.openxmlformats-officedocument.wordprocessingml.footnot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color w:val="1F497D" w:themeColor="text2"/>
          <w:sz w:val="32"/>
          <w:szCs w:val="32"/>
          <w:lang w:val="en-US"/>
        </w:rPr>
      </w:pPr>
      <w:r>
        <w:rPr>
          <w:color w:val="1F497D" w:themeColor="text2"/>
          <w:sz w:val="32"/>
          <w:szCs w:val="32"/>
          <w:lang w:val="en-US"/>
        </w:rPr>
      </w:r>
      <w:bookmarkStart w:id="0" w:name="__UnoMark__4690_319620121"/>
      <w:bookmarkStart w:id="1" w:name="__UnoMark__4689_319620121"/>
      <w:bookmarkStart w:id="2" w:name="__UnoMark__4688_319620121"/>
      <w:bookmarkStart w:id="3" w:name="__UnoMark__4690_319620121"/>
      <w:bookmarkStart w:id="4" w:name="__UnoMark__4689_319620121"/>
      <w:bookmarkStart w:id="5" w:name="__UnoMark__4688_319620121"/>
      <w:bookmarkEnd w:id="3"/>
      <w:bookmarkEnd w:id="4"/>
      <w:bookmarkEnd w:id="5"/>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jc w:val="center"/>
        <w:rPr>
          <w:b/>
          <w:b/>
          <w:color w:val="1F497D" w:themeColor="text2"/>
          <w:sz w:val="96"/>
          <w:szCs w:val="96"/>
          <w:lang w:val="en-US"/>
        </w:rPr>
      </w:pPr>
      <w:r>
        <w:rPr>
          <w:b/>
          <w:color w:val="1F497D" w:themeColor="text2"/>
          <w:sz w:val="96"/>
          <w:szCs w:val="96"/>
          <w:lang w:val="en-US"/>
        </w:rPr>
        <w:t xml:space="preserve">MAKING </w:t>
      </w:r>
      <w:r>
        <w:rPr>
          <w:b/>
          <w:color w:val="1F497D" w:themeColor="text2"/>
          <w:sz w:val="96"/>
          <w:szCs w:val="96"/>
          <w:lang w:val="en-US"/>
        </w:rPr>
        <w:t>GENDER</w:t>
      </w:r>
      <w:r>
        <w:rPr>
          <w:b/>
          <w:color w:val="1F497D" w:themeColor="text2"/>
          <w:sz w:val="96"/>
          <w:szCs w:val="96"/>
          <w:lang w:val="en-US"/>
        </w:rPr>
        <w:t xml:space="preserve"> EQUALITY COUNT </w:t>
      </w:r>
    </w:p>
    <w:p>
      <w:pPr>
        <w:pStyle w:val="Normal"/>
        <w:spacing w:lineRule="auto" w:line="240" w:before="0" w:after="0"/>
        <w:jc w:val="center"/>
        <w:rPr>
          <w:rFonts w:cs="Calibri" w:cstheme="minorHAnsi"/>
          <w:color w:val="1F497D" w:themeColor="text2"/>
          <w:sz w:val="24"/>
          <w:szCs w:val="24"/>
          <w:lang w:val="en-US"/>
        </w:rPr>
      </w:pPr>
      <w:bookmarkStart w:id="6" w:name="_Hlk487465399"/>
      <w:r>
        <w:rPr>
          <w:rFonts w:cs="Calibri" w:cstheme="minorHAnsi"/>
          <w:color w:val="1F497D" w:themeColor="text2"/>
          <w:sz w:val="24"/>
          <w:szCs w:val="24"/>
          <w:lang w:val="en-US"/>
        </w:rPr>
        <w:t xml:space="preserve">Gender equality analysis of all VOCG materials </w:t>
      </w:r>
      <w:bookmarkEnd w:id="6"/>
      <w:r>
        <w:rPr>
          <w:rFonts w:cs="Calibri" w:cstheme="minorHAnsi"/>
          <w:color w:val="1F497D" w:themeColor="text2"/>
          <w:sz w:val="24"/>
          <w:szCs w:val="24"/>
          <w:lang w:val="en-US"/>
        </w:rPr>
        <w:t>developed and implemented by CEDA                                 in the framework of REVOCC project</w:t>
      </w:r>
    </w:p>
    <w:p>
      <w:pPr>
        <w:pStyle w:val="Normal"/>
        <w:spacing w:lineRule="auto" w:line="240" w:before="0" w:after="0"/>
        <w:jc w:val="center"/>
        <w:rPr>
          <w:rFonts w:cs="Calibri" w:cstheme="minorHAnsi"/>
          <w:color w:val="1F497D" w:themeColor="text2"/>
          <w:sz w:val="44"/>
          <w:szCs w:val="44"/>
          <w:lang w:val="en-US"/>
        </w:rPr>
      </w:pPr>
      <w:r>
        <w:rPr>
          <w:rFonts w:cs="Calibri" w:cstheme="minorHAnsi"/>
          <w:color w:val="1F497D" w:themeColor="text2"/>
          <w:sz w:val="24"/>
          <w:szCs w:val="24"/>
          <w:lang w:val="en-US"/>
        </w:rPr>
        <w:t>Buzu Alexei</w:t>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bookmarkStart w:id="7" w:name="_GoBack"/>
      <w:bookmarkStart w:id="8" w:name="_GoBack"/>
      <w:bookmarkEnd w:id="8"/>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jc w:val="center"/>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jc w:val="center"/>
        <w:rPr>
          <w:b/>
          <w:b/>
          <w:color w:val="1F497D" w:themeColor="text2"/>
          <w:sz w:val="32"/>
          <w:szCs w:val="32"/>
          <w:lang w:val="en-US"/>
        </w:rPr>
      </w:pPr>
      <w:r>
        <w:rPr>
          <w:b/>
          <w:color w:val="1F497D" w:themeColor="text2"/>
          <w:sz w:val="32"/>
          <w:szCs w:val="32"/>
          <w:lang w:val="en-US"/>
        </w:rPr>
        <w:t>CHISINAU, 2016</w:t>
      </w:r>
    </w:p>
    <w:p>
      <w:pPr>
        <w:pStyle w:val="Normal"/>
        <w:spacing w:lineRule="auto" w:line="240" w:before="0" w:after="0"/>
        <w:rPr>
          <w:b/>
          <w:b/>
          <w:color w:val="1F497D" w:themeColor="text2"/>
          <w:sz w:val="32"/>
          <w:szCs w:val="32"/>
          <w:lang w:val="en-US"/>
        </w:rPr>
      </w:pPr>
      <w:r>
        <w:rPr>
          <w:b/>
          <w:color w:val="1F497D" w:themeColor="text2"/>
          <w:sz w:val="32"/>
          <w:szCs w:val="32"/>
          <w:lang w:val="en-US"/>
        </w:rPr>
        <w:t>CONTENTS</w:t>
      </w:r>
    </w:p>
    <w:p>
      <w:pPr>
        <w:pStyle w:val="Normal"/>
        <w:spacing w:lineRule="auto" w:line="240" w:before="0" w:after="0"/>
        <w:rPr>
          <w:color w:val="1F497D" w:themeColor="text2"/>
          <w:sz w:val="32"/>
          <w:szCs w:val="32"/>
          <w:lang w:val="en-US"/>
        </w:rPr>
      </w:pPr>
      <w:r>
        <w:rPr>
          <w:color w:val="1F497D" w:themeColor="text2"/>
          <w:sz w:val="32"/>
          <w:szCs w:val="32"/>
          <w:lang w:val="en-US"/>
        </w:rPr>
      </w:r>
    </w:p>
    <w:sdt>
      <w:sdtPr>
        <w:docPartObj>
          <w:docPartGallery w:val="Table of Contents"/>
          <w:docPartUnique w:val="true"/>
        </w:docPartObj>
        <w:id w:val="409669148"/>
      </w:sdtPr>
      <w:sdtContent>
        <w:p>
          <w:pPr>
            <w:pStyle w:val="TOCHeading"/>
            <w:rPr/>
          </w:pPr>
          <w:r>
            <w:rPr/>
          </w:r>
        </w:p>
        <w:p>
          <w:pPr>
            <w:pStyle w:val="Contents1"/>
            <w:tabs>
              <w:tab w:val="clear" w:pos="708"/>
              <w:tab w:val="right" w:pos="9062" w:leader="dot"/>
            </w:tabs>
            <w:rPr>
              <w:color w:val="1F497D" w:themeColor="text2"/>
              <w:lang w:val="en-US"/>
            </w:rPr>
          </w:pPr>
          <w:r>
            <w:fldChar w:fldCharType="begin"/>
          </w:r>
          <w:r>
            <w:rPr>
              <w:webHidden/>
              <w:rStyle w:val="IndexLink"/>
              <w:b/>
              <w:rFonts w:cs="Calibri"/>
            </w:rPr>
            <w:instrText> TOC \z \o "1-3" \u \h</w:instrText>
          </w:r>
          <w:r>
            <w:rPr>
              <w:webHidden/>
              <w:rStyle w:val="IndexLink"/>
              <w:b/>
              <w:rFonts w:cs="Calibri"/>
            </w:rPr>
            <w:fldChar w:fldCharType="separate"/>
          </w:r>
          <w:hyperlink w:anchor="_Toc495387896">
            <w:r>
              <w:rPr>
                <w:webHidden/>
                <w:rStyle w:val="IndexLink"/>
                <w:rFonts w:cs="Calibri" w:cstheme="minorHAnsi"/>
                <w:b/>
                <w:color w:val="1F497D" w:themeColor="text2"/>
                <w:lang w:val="en-US"/>
              </w:rPr>
              <w:t>I.EXECUTIVE SUMMARY</w:t>
            </w:r>
            <w:r>
              <w:rPr>
                <w:webHidden/>
              </w:rPr>
              <w:fldChar w:fldCharType="begin"/>
            </w:r>
            <w:r>
              <w:rPr>
                <w:webHidden/>
              </w:rPr>
              <w:instrText>PAGEREF _Toc495387896 \h</w:instrText>
            </w:r>
            <w:r>
              <w:rPr>
                <w:webHidden/>
              </w:rPr>
              <w:fldChar w:fldCharType="separate"/>
            </w:r>
            <w:r>
              <w:rPr>
                <w:rStyle w:val="IndexLink"/>
                <w:vanish w:val="false"/>
                <w:color w:val="1F497D" w:themeColor="text2"/>
                <w:lang w:val="en-US"/>
              </w:rPr>
              <w:tab/>
              <w:t>3</w:t>
            </w:r>
            <w:r>
              <w:rPr>
                <w:webHidden/>
              </w:rPr>
              <w:fldChar w:fldCharType="end"/>
            </w:r>
          </w:hyperlink>
        </w:p>
        <w:p>
          <w:pPr>
            <w:pStyle w:val="Contents1"/>
            <w:tabs>
              <w:tab w:val="clear" w:pos="708"/>
              <w:tab w:val="right" w:pos="9062" w:leader="dot"/>
            </w:tabs>
            <w:rPr>
              <w:color w:val="1F497D" w:themeColor="text2"/>
              <w:lang w:val="en-US"/>
            </w:rPr>
          </w:pPr>
          <w:hyperlink w:anchor="_Toc495387897">
            <w:r>
              <w:rPr>
                <w:webHidden/>
                <w:rStyle w:val="IndexLink"/>
                <w:rFonts w:cs="Calibri" w:cstheme="minorHAnsi"/>
                <w:b/>
                <w:color w:val="1F497D" w:themeColor="text2"/>
                <w:lang w:val="en-US"/>
              </w:rPr>
              <w:t>II. METHODOLOGY</w:t>
            </w:r>
            <w:r>
              <w:rPr>
                <w:webHidden/>
              </w:rPr>
              <w:fldChar w:fldCharType="begin"/>
            </w:r>
            <w:r>
              <w:rPr>
                <w:webHidden/>
              </w:rPr>
              <w:instrText>PAGEREF _Toc495387897 \h</w:instrText>
            </w:r>
            <w:r>
              <w:rPr>
                <w:webHidden/>
              </w:rPr>
              <w:fldChar w:fldCharType="separate"/>
            </w:r>
            <w:r>
              <w:rPr>
                <w:rStyle w:val="IndexLink"/>
                <w:vanish w:val="false"/>
                <w:color w:val="1F497D" w:themeColor="text2"/>
                <w:lang w:val="en-US"/>
              </w:rPr>
              <w:tab/>
              <w:t>4</w:t>
            </w:r>
            <w:r>
              <w:rPr>
                <w:webHidden/>
              </w:rPr>
              <w:fldChar w:fldCharType="end"/>
            </w:r>
          </w:hyperlink>
        </w:p>
        <w:p>
          <w:pPr>
            <w:pStyle w:val="Contents1"/>
            <w:tabs>
              <w:tab w:val="clear" w:pos="708"/>
              <w:tab w:val="right" w:pos="9062" w:leader="dot"/>
            </w:tabs>
            <w:rPr>
              <w:color w:val="1F497D" w:themeColor="text2"/>
              <w:lang w:val="en-US"/>
            </w:rPr>
          </w:pPr>
          <w:hyperlink w:anchor="_Toc495387898">
            <w:r>
              <w:rPr>
                <w:webHidden/>
                <w:rStyle w:val="IndexLink"/>
                <w:rFonts w:cs="Calibri" w:cstheme="minorHAnsi"/>
                <w:b/>
                <w:color w:val="1F497D" w:themeColor="text2"/>
                <w:lang w:val="en-US"/>
              </w:rPr>
              <w:t>III. ASSESSING GENDER INEQUALITIES RELEVANT TO VOCATIONAL ORIENTATION AND CAREER         COUNSELLING IN SCHOOLS</w:t>
            </w:r>
            <w:r>
              <w:rPr>
                <w:webHidden/>
              </w:rPr>
              <w:fldChar w:fldCharType="begin"/>
            </w:r>
            <w:r>
              <w:rPr>
                <w:webHidden/>
              </w:rPr>
              <w:instrText>PAGEREF _Toc495387898 \h</w:instrText>
            </w:r>
            <w:r>
              <w:rPr>
                <w:webHidden/>
              </w:rPr>
              <w:fldChar w:fldCharType="separate"/>
            </w:r>
            <w:r>
              <w:rPr>
                <w:rStyle w:val="IndexLink"/>
                <w:vanish w:val="false"/>
                <w:color w:val="1F497D" w:themeColor="text2"/>
                <w:lang w:val="en-US"/>
              </w:rPr>
              <w:tab/>
              <w:t>6</w:t>
            </w:r>
            <w:r>
              <w:rPr>
                <w:webHidden/>
              </w:rPr>
              <w:fldChar w:fldCharType="end"/>
            </w:r>
          </w:hyperlink>
        </w:p>
        <w:p>
          <w:pPr>
            <w:pStyle w:val="Contents2"/>
            <w:tabs>
              <w:tab w:val="clear" w:pos="708"/>
              <w:tab w:val="right" w:pos="9062" w:leader="dot"/>
            </w:tabs>
            <w:rPr>
              <w:color w:val="1F497D" w:themeColor="text2"/>
              <w:lang w:val="en-US"/>
            </w:rPr>
          </w:pPr>
          <w:hyperlink w:anchor="_Toc495387899">
            <w:r>
              <w:rPr>
                <w:webHidden/>
                <w:rStyle w:val="IndexLink"/>
                <w:rFonts w:cs="Calibri" w:cstheme="minorHAnsi"/>
                <w:i/>
                <w:color w:val="1F497D" w:themeColor="text2"/>
                <w:lang w:val="en-US"/>
              </w:rPr>
              <w:t>3.1. Academic performance</w:t>
            </w:r>
            <w:r>
              <w:rPr>
                <w:webHidden/>
              </w:rPr>
              <w:fldChar w:fldCharType="begin"/>
            </w:r>
            <w:r>
              <w:rPr>
                <w:webHidden/>
              </w:rPr>
              <w:instrText>PAGEREF _Toc495387899 \h</w:instrText>
            </w:r>
            <w:r>
              <w:rPr>
                <w:webHidden/>
              </w:rPr>
              <w:fldChar w:fldCharType="separate"/>
            </w:r>
            <w:r>
              <w:rPr>
                <w:rStyle w:val="IndexLink"/>
                <w:vanish w:val="false"/>
                <w:color w:val="1F497D" w:themeColor="text2"/>
                <w:lang w:val="en-US"/>
              </w:rPr>
              <w:tab/>
              <w:t>6</w:t>
            </w:r>
            <w:r>
              <w:rPr>
                <w:webHidden/>
              </w:rPr>
              <w:fldChar w:fldCharType="end"/>
            </w:r>
          </w:hyperlink>
        </w:p>
        <w:p>
          <w:pPr>
            <w:pStyle w:val="Contents2"/>
            <w:tabs>
              <w:tab w:val="clear" w:pos="708"/>
              <w:tab w:val="right" w:pos="9062" w:leader="dot"/>
            </w:tabs>
            <w:rPr>
              <w:color w:val="1F497D" w:themeColor="text2"/>
              <w:lang w:val="en-US"/>
            </w:rPr>
          </w:pPr>
          <w:hyperlink w:anchor="_Toc495387900">
            <w:r>
              <w:rPr>
                <w:webHidden/>
                <w:rStyle w:val="IndexLink"/>
                <w:rFonts w:cs="Calibri" w:cstheme="minorHAnsi"/>
                <w:color w:val="1F497D" w:themeColor="text2"/>
                <w:lang w:val="en-US"/>
              </w:rPr>
              <w:t xml:space="preserve">3.2. </w:t>
            </w:r>
            <w:r>
              <w:rPr>
                <w:rStyle w:val="IndexLink"/>
                <w:rFonts w:cs="Calibri" w:cstheme="minorHAnsi"/>
                <w:i/>
                <w:color w:val="1F497D" w:themeColor="text2"/>
                <w:lang w:val="en-US"/>
              </w:rPr>
              <w:t>Choosing a career path</w:t>
            </w:r>
            <w:r>
              <w:rPr>
                <w:webHidden/>
              </w:rPr>
              <w:fldChar w:fldCharType="begin"/>
            </w:r>
            <w:r>
              <w:rPr>
                <w:webHidden/>
              </w:rPr>
              <w:instrText>PAGEREF _Toc495387900 \h</w:instrText>
            </w:r>
            <w:r>
              <w:rPr>
                <w:webHidden/>
              </w:rPr>
              <w:fldChar w:fldCharType="separate"/>
            </w:r>
            <w:r>
              <w:rPr>
                <w:rStyle w:val="IndexLink"/>
                <w:vanish w:val="false"/>
                <w:color w:val="1F497D" w:themeColor="text2"/>
                <w:lang w:val="en-US"/>
              </w:rPr>
              <w:tab/>
              <w:t>7</w:t>
            </w:r>
            <w:r>
              <w:rPr>
                <w:webHidden/>
              </w:rPr>
              <w:fldChar w:fldCharType="end"/>
            </w:r>
          </w:hyperlink>
        </w:p>
        <w:p>
          <w:pPr>
            <w:pStyle w:val="Contents1"/>
            <w:tabs>
              <w:tab w:val="clear" w:pos="708"/>
              <w:tab w:val="right" w:pos="9062" w:leader="dot"/>
            </w:tabs>
            <w:rPr>
              <w:color w:val="1F497D" w:themeColor="text2"/>
              <w:lang w:val="en-US"/>
            </w:rPr>
          </w:pPr>
          <w:hyperlink w:anchor="_Toc495387901">
            <w:r>
              <w:rPr>
                <w:webHidden/>
                <w:rStyle w:val="IndexLink"/>
                <w:rFonts w:cs="Calibri" w:cstheme="minorHAnsi"/>
                <w:b/>
                <w:color w:val="1F497D" w:themeColor="text2"/>
                <w:lang w:val="en-US"/>
              </w:rPr>
              <w:t>IV. ANALYSIS</w:t>
            </w:r>
            <w:r>
              <w:rPr>
                <w:webHidden/>
              </w:rPr>
              <w:fldChar w:fldCharType="begin"/>
            </w:r>
            <w:r>
              <w:rPr>
                <w:webHidden/>
              </w:rPr>
              <w:instrText>PAGEREF _Toc495387901 \h</w:instrText>
            </w:r>
            <w:r>
              <w:rPr>
                <w:webHidden/>
              </w:rPr>
              <w:fldChar w:fldCharType="separate"/>
            </w:r>
            <w:r>
              <w:rPr>
                <w:rStyle w:val="IndexLink"/>
                <w:vanish w:val="false"/>
                <w:color w:val="1F497D" w:themeColor="text2"/>
                <w:lang w:val="en-US"/>
              </w:rPr>
              <w:tab/>
              <w:t>9</w:t>
            </w:r>
            <w:r>
              <w:rPr>
                <w:webHidden/>
              </w:rPr>
              <w:fldChar w:fldCharType="end"/>
            </w:r>
          </w:hyperlink>
        </w:p>
        <w:p>
          <w:pPr>
            <w:pStyle w:val="Contents2"/>
            <w:tabs>
              <w:tab w:val="clear" w:pos="708"/>
              <w:tab w:val="right" w:pos="9062" w:leader="dot"/>
            </w:tabs>
            <w:rPr>
              <w:color w:val="1F497D" w:themeColor="text2"/>
              <w:lang w:val="en-US"/>
            </w:rPr>
          </w:pPr>
          <w:hyperlink w:anchor="_Toc495387902">
            <w:r>
              <w:rPr>
                <w:webHidden/>
                <w:rStyle w:val="IndexLink"/>
                <w:rFonts w:cs="Calibri" w:cstheme="minorHAnsi"/>
                <w:color w:val="1F497D" w:themeColor="text2"/>
                <w:lang w:val="en-US"/>
              </w:rPr>
              <w:t>4.1. General assessment</w:t>
            </w:r>
            <w:r>
              <w:rPr>
                <w:webHidden/>
              </w:rPr>
              <w:fldChar w:fldCharType="begin"/>
            </w:r>
            <w:r>
              <w:rPr>
                <w:webHidden/>
              </w:rPr>
              <w:instrText>PAGEREF _Toc495387902 \h</w:instrText>
            </w:r>
            <w:r>
              <w:rPr>
                <w:webHidden/>
              </w:rPr>
              <w:fldChar w:fldCharType="separate"/>
            </w:r>
            <w:r>
              <w:rPr>
                <w:rStyle w:val="IndexLink"/>
                <w:vanish w:val="false"/>
                <w:color w:val="1F497D" w:themeColor="text2"/>
                <w:lang w:val="en-US"/>
              </w:rPr>
              <w:tab/>
              <w:t>9</w:t>
            </w:r>
            <w:r>
              <w:rPr>
                <w:webHidden/>
              </w:rPr>
              <w:fldChar w:fldCharType="end"/>
            </w:r>
          </w:hyperlink>
        </w:p>
        <w:p>
          <w:pPr>
            <w:pStyle w:val="Contents2"/>
            <w:tabs>
              <w:tab w:val="clear" w:pos="708"/>
              <w:tab w:val="right" w:pos="9062" w:leader="dot"/>
            </w:tabs>
            <w:rPr>
              <w:color w:val="1F497D" w:themeColor="text2"/>
              <w:lang w:val="en-US"/>
            </w:rPr>
          </w:pPr>
          <w:hyperlink w:anchor="_Toc495387903">
            <w:r>
              <w:rPr>
                <w:webHidden/>
                <w:rStyle w:val="IndexLink"/>
                <w:rFonts w:cs="Calibri" w:cstheme="minorHAnsi"/>
                <w:color w:val="1F497D" w:themeColor="text2"/>
                <w:lang w:val="en-US"/>
              </w:rPr>
              <w:t>4.2. Fifth grade</w:t>
            </w:r>
            <w:r>
              <w:rPr>
                <w:webHidden/>
              </w:rPr>
              <w:fldChar w:fldCharType="begin"/>
            </w:r>
            <w:r>
              <w:rPr>
                <w:webHidden/>
              </w:rPr>
              <w:instrText>PAGEREF _Toc495387903 \h</w:instrText>
            </w:r>
            <w:r>
              <w:rPr>
                <w:webHidden/>
              </w:rPr>
              <w:fldChar w:fldCharType="separate"/>
            </w:r>
            <w:r>
              <w:rPr>
                <w:rStyle w:val="IndexLink"/>
                <w:vanish w:val="false"/>
                <w:color w:val="1F497D" w:themeColor="text2"/>
                <w:lang w:val="en-US"/>
              </w:rPr>
              <w:tab/>
              <w:t>10</w:t>
            </w:r>
            <w:r>
              <w:rPr>
                <w:webHidden/>
              </w:rPr>
              <w:fldChar w:fldCharType="end"/>
            </w:r>
          </w:hyperlink>
        </w:p>
        <w:p>
          <w:pPr>
            <w:pStyle w:val="Contents2"/>
            <w:tabs>
              <w:tab w:val="clear" w:pos="708"/>
              <w:tab w:val="right" w:pos="9062" w:leader="dot"/>
            </w:tabs>
            <w:rPr>
              <w:color w:val="1F497D" w:themeColor="text2"/>
              <w:lang w:val="en-US"/>
            </w:rPr>
          </w:pPr>
          <w:hyperlink w:anchor="_Toc495387904">
            <w:r>
              <w:rPr>
                <w:webHidden/>
                <w:rStyle w:val="IndexLink"/>
                <w:rFonts w:cs="Calibri" w:cstheme="minorHAnsi"/>
                <w:color w:val="1F497D" w:themeColor="text2"/>
                <w:lang w:val="en-US"/>
              </w:rPr>
              <w:t>4.3. Grade VI</w:t>
            </w:r>
            <w:r>
              <w:rPr>
                <w:webHidden/>
              </w:rPr>
              <w:fldChar w:fldCharType="begin"/>
            </w:r>
            <w:r>
              <w:rPr>
                <w:webHidden/>
              </w:rPr>
              <w:instrText>PAGEREF _Toc495387904 \h</w:instrText>
            </w:r>
            <w:r>
              <w:rPr>
                <w:webHidden/>
              </w:rPr>
              <w:fldChar w:fldCharType="separate"/>
            </w:r>
            <w:r>
              <w:rPr>
                <w:rStyle w:val="IndexLink"/>
                <w:vanish w:val="false"/>
                <w:color w:val="1F497D" w:themeColor="text2"/>
                <w:lang w:val="en-US"/>
              </w:rPr>
              <w:tab/>
              <w:t>11</w:t>
            </w:r>
            <w:r>
              <w:rPr>
                <w:webHidden/>
              </w:rPr>
              <w:fldChar w:fldCharType="end"/>
            </w:r>
          </w:hyperlink>
        </w:p>
        <w:p>
          <w:pPr>
            <w:pStyle w:val="Contents2"/>
            <w:tabs>
              <w:tab w:val="clear" w:pos="708"/>
              <w:tab w:val="right" w:pos="9062" w:leader="dot"/>
            </w:tabs>
            <w:rPr>
              <w:color w:val="1F497D" w:themeColor="text2"/>
              <w:lang w:val="en-US"/>
            </w:rPr>
          </w:pPr>
          <w:hyperlink w:anchor="_Toc495387905">
            <w:r>
              <w:rPr>
                <w:webHidden/>
                <w:rStyle w:val="IndexLink"/>
                <w:rFonts w:cs="Calibri" w:cstheme="minorHAnsi"/>
                <w:color w:val="1F497D" w:themeColor="text2"/>
                <w:lang w:val="en-US"/>
              </w:rPr>
              <w:t>4.4. Grade VII</w:t>
            </w:r>
            <w:r>
              <w:rPr>
                <w:webHidden/>
              </w:rPr>
              <w:fldChar w:fldCharType="begin"/>
            </w:r>
            <w:r>
              <w:rPr>
                <w:webHidden/>
              </w:rPr>
              <w:instrText>PAGEREF _Toc495387905 \h</w:instrText>
            </w:r>
            <w:r>
              <w:rPr>
                <w:webHidden/>
              </w:rPr>
              <w:fldChar w:fldCharType="separate"/>
            </w:r>
            <w:r>
              <w:rPr>
                <w:rStyle w:val="IndexLink"/>
                <w:vanish w:val="false"/>
                <w:color w:val="1F497D" w:themeColor="text2"/>
                <w:lang w:val="en-US"/>
              </w:rPr>
              <w:tab/>
              <w:t>11</w:t>
            </w:r>
            <w:r>
              <w:rPr>
                <w:webHidden/>
              </w:rPr>
              <w:fldChar w:fldCharType="end"/>
            </w:r>
          </w:hyperlink>
        </w:p>
        <w:p>
          <w:pPr>
            <w:pStyle w:val="Contents2"/>
            <w:tabs>
              <w:tab w:val="clear" w:pos="708"/>
              <w:tab w:val="right" w:pos="9062" w:leader="dot"/>
            </w:tabs>
            <w:rPr>
              <w:color w:val="1F497D" w:themeColor="text2"/>
              <w:lang w:val="en-US"/>
            </w:rPr>
          </w:pPr>
          <w:hyperlink w:anchor="_Toc495387906">
            <w:r>
              <w:rPr>
                <w:webHidden/>
                <w:rStyle w:val="IndexLink"/>
                <w:rFonts w:cs="Calibri" w:cstheme="minorHAnsi"/>
                <w:color w:val="1F497D" w:themeColor="text2"/>
                <w:lang w:val="en-US"/>
              </w:rPr>
              <w:t>4.5. Grade VIII</w:t>
            </w:r>
            <w:r>
              <w:rPr>
                <w:webHidden/>
              </w:rPr>
              <w:fldChar w:fldCharType="begin"/>
            </w:r>
            <w:r>
              <w:rPr>
                <w:webHidden/>
              </w:rPr>
              <w:instrText>PAGEREF _Toc495387906 \h</w:instrText>
            </w:r>
            <w:r>
              <w:rPr>
                <w:webHidden/>
              </w:rPr>
              <w:fldChar w:fldCharType="separate"/>
            </w:r>
            <w:r>
              <w:rPr>
                <w:rStyle w:val="IndexLink"/>
                <w:vanish w:val="false"/>
                <w:color w:val="1F497D" w:themeColor="text2"/>
                <w:lang w:val="en-US"/>
              </w:rPr>
              <w:tab/>
              <w:t>12</w:t>
            </w:r>
            <w:r>
              <w:rPr>
                <w:webHidden/>
              </w:rPr>
              <w:fldChar w:fldCharType="end"/>
            </w:r>
          </w:hyperlink>
        </w:p>
        <w:p>
          <w:pPr>
            <w:pStyle w:val="Contents2"/>
            <w:tabs>
              <w:tab w:val="clear" w:pos="708"/>
              <w:tab w:val="right" w:pos="9062" w:leader="dot"/>
            </w:tabs>
            <w:rPr>
              <w:color w:val="1F497D" w:themeColor="text2"/>
              <w:lang w:val="en-US"/>
            </w:rPr>
          </w:pPr>
          <w:hyperlink w:anchor="_Toc495387907">
            <w:r>
              <w:rPr>
                <w:webHidden/>
                <w:rStyle w:val="IndexLink"/>
                <w:rFonts w:cs="Calibri" w:cstheme="minorHAnsi"/>
                <w:color w:val="1F497D" w:themeColor="text2"/>
                <w:lang w:val="en-US"/>
              </w:rPr>
              <w:t>4.6. Grade IX</w:t>
            </w:r>
            <w:r>
              <w:rPr>
                <w:webHidden/>
              </w:rPr>
              <w:fldChar w:fldCharType="begin"/>
            </w:r>
            <w:r>
              <w:rPr>
                <w:webHidden/>
              </w:rPr>
              <w:instrText>PAGEREF _Toc495387907 \h</w:instrText>
            </w:r>
            <w:r>
              <w:rPr>
                <w:webHidden/>
              </w:rPr>
              <w:fldChar w:fldCharType="separate"/>
            </w:r>
            <w:r>
              <w:rPr>
                <w:rStyle w:val="IndexLink"/>
                <w:vanish w:val="false"/>
                <w:color w:val="1F497D" w:themeColor="text2"/>
                <w:lang w:val="en-US"/>
              </w:rPr>
              <w:tab/>
              <w:t>13</w:t>
            </w:r>
            <w:r>
              <w:rPr>
                <w:webHidden/>
              </w:rPr>
              <w:fldChar w:fldCharType="end"/>
            </w:r>
          </w:hyperlink>
        </w:p>
        <w:p>
          <w:pPr>
            <w:pStyle w:val="Contents2"/>
            <w:tabs>
              <w:tab w:val="clear" w:pos="708"/>
              <w:tab w:val="right" w:pos="9062" w:leader="dot"/>
            </w:tabs>
            <w:rPr>
              <w:color w:val="1F497D" w:themeColor="text2"/>
              <w:lang w:val="en-US"/>
            </w:rPr>
          </w:pPr>
          <w:hyperlink w:anchor="_Toc495387908">
            <w:r>
              <w:rPr>
                <w:webHidden/>
                <w:rStyle w:val="IndexLink"/>
                <w:rFonts w:cs="Calibri" w:cstheme="minorHAnsi"/>
                <w:color w:val="1F497D" w:themeColor="text2"/>
                <w:lang w:val="en-US"/>
              </w:rPr>
              <w:t>4.7. Grade X</w:t>
            </w:r>
            <w:r>
              <w:rPr>
                <w:webHidden/>
              </w:rPr>
              <w:fldChar w:fldCharType="begin"/>
            </w:r>
            <w:r>
              <w:rPr>
                <w:webHidden/>
              </w:rPr>
              <w:instrText>PAGEREF _Toc495387908 \h</w:instrText>
            </w:r>
            <w:r>
              <w:rPr>
                <w:webHidden/>
              </w:rPr>
              <w:fldChar w:fldCharType="separate"/>
            </w:r>
            <w:r>
              <w:rPr>
                <w:rStyle w:val="IndexLink"/>
                <w:vanish w:val="false"/>
                <w:color w:val="1F497D" w:themeColor="text2"/>
                <w:lang w:val="en-US"/>
              </w:rPr>
              <w:tab/>
              <w:t>13</w:t>
            </w:r>
            <w:r>
              <w:rPr>
                <w:webHidden/>
              </w:rPr>
              <w:fldChar w:fldCharType="end"/>
            </w:r>
          </w:hyperlink>
        </w:p>
        <w:p>
          <w:pPr>
            <w:pStyle w:val="Contents2"/>
            <w:tabs>
              <w:tab w:val="clear" w:pos="708"/>
              <w:tab w:val="right" w:pos="9062" w:leader="dot"/>
            </w:tabs>
            <w:rPr>
              <w:color w:val="1F497D" w:themeColor="text2"/>
              <w:lang w:val="en-US"/>
            </w:rPr>
          </w:pPr>
          <w:hyperlink w:anchor="_Toc495387909">
            <w:r>
              <w:rPr>
                <w:webHidden/>
                <w:rStyle w:val="IndexLink"/>
                <w:rFonts w:cs="Calibri" w:cstheme="minorHAnsi"/>
                <w:color w:val="1F497D" w:themeColor="text2"/>
                <w:lang w:val="en-US"/>
              </w:rPr>
              <w:t>4.8. Grade XI</w:t>
            </w:r>
            <w:r>
              <w:rPr>
                <w:webHidden/>
              </w:rPr>
              <w:fldChar w:fldCharType="begin"/>
            </w:r>
            <w:r>
              <w:rPr>
                <w:webHidden/>
              </w:rPr>
              <w:instrText>PAGEREF _Toc495387909 \h</w:instrText>
            </w:r>
            <w:r>
              <w:rPr>
                <w:webHidden/>
              </w:rPr>
              <w:fldChar w:fldCharType="separate"/>
            </w:r>
            <w:r>
              <w:rPr>
                <w:rStyle w:val="IndexLink"/>
                <w:vanish w:val="false"/>
                <w:color w:val="1F497D" w:themeColor="text2"/>
                <w:lang w:val="en-US"/>
              </w:rPr>
              <w:tab/>
              <w:t>14</w:t>
            </w:r>
            <w:r>
              <w:rPr>
                <w:webHidden/>
              </w:rPr>
              <w:fldChar w:fldCharType="end"/>
            </w:r>
          </w:hyperlink>
        </w:p>
        <w:p>
          <w:pPr>
            <w:pStyle w:val="Contents2"/>
            <w:tabs>
              <w:tab w:val="clear" w:pos="708"/>
              <w:tab w:val="right" w:pos="9062" w:leader="dot"/>
            </w:tabs>
            <w:rPr>
              <w:color w:val="1F497D" w:themeColor="text2"/>
              <w:lang w:val="en-US"/>
            </w:rPr>
          </w:pPr>
          <w:hyperlink w:anchor="_Toc495387910">
            <w:r>
              <w:rPr>
                <w:webHidden/>
                <w:rStyle w:val="IndexLink"/>
                <w:rFonts w:cs="Calibri" w:cstheme="minorHAnsi"/>
                <w:color w:val="1F497D" w:themeColor="text2"/>
                <w:lang w:val="en-US"/>
              </w:rPr>
              <w:t>4.9. Grade XII</w:t>
            </w:r>
            <w:r>
              <w:rPr>
                <w:webHidden/>
              </w:rPr>
              <w:fldChar w:fldCharType="begin"/>
            </w:r>
            <w:r>
              <w:rPr>
                <w:webHidden/>
              </w:rPr>
              <w:instrText>PAGEREF _Toc495387910 \h</w:instrText>
            </w:r>
            <w:r>
              <w:rPr>
                <w:webHidden/>
              </w:rPr>
              <w:fldChar w:fldCharType="separate"/>
            </w:r>
            <w:r>
              <w:rPr>
                <w:rStyle w:val="IndexLink"/>
                <w:vanish w:val="false"/>
                <w:color w:val="1F497D" w:themeColor="text2"/>
                <w:lang w:val="en-US"/>
              </w:rPr>
              <w:tab/>
              <w:t>14</w:t>
            </w:r>
            <w:r>
              <w:rPr>
                <w:webHidden/>
              </w:rPr>
              <w:fldChar w:fldCharType="end"/>
            </w:r>
          </w:hyperlink>
        </w:p>
        <w:p>
          <w:pPr>
            <w:pStyle w:val="Contents2"/>
            <w:tabs>
              <w:tab w:val="clear" w:pos="708"/>
              <w:tab w:val="right" w:pos="9062" w:leader="dot"/>
            </w:tabs>
            <w:rPr>
              <w:color w:val="1F497D" w:themeColor="text2"/>
              <w:lang w:val="en-US"/>
            </w:rPr>
          </w:pPr>
          <w:hyperlink w:anchor="_Toc495387911">
            <w:r>
              <w:rPr>
                <w:webHidden/>
                <w:rStyle w:val="IndexLink"/>
                <w:rFonts w:cs="Calibri" w:cstheme="minorHAnsi"/>
                <w:color w:val="1F497D" w:themeColor="text2"/>
                <w:lang w:val="en-US"/>
              </w:rPr>
              <w:t>4.10. Professional schools postsecondary education</w:t>
            </w:r>
            <w:r>
              <w:rPr>
                <w:webHidden/>
              </w:rPr>
              <w:fldChar w:fldCharType="begin"/>
            </w:r>
            <w:r>
              <w:rPr>
                <w:webHidden/>
              </w:rPr>
              <w:instrText>PAGEREF _Toc495387911 \h</w:instrText>
            </w:r>
            <w:r>
              <w:rPr>
                <w:webHidden/>
              </w:rPr>
              <w:fldChar w:fldCharType="separate"/>
            </w:r>
            <w:r>
              <w:rPr>
                <w:rStyle w:val="IndexLink"/>
                <w:vanish w:val="false"/>
                <w:color w:val="1F497D" w:themeColor="text2"/>
                <w:lang w:val="en-US"/>
              </w:rPr>
              <w:tab/>
              <w:t>15</w:t>
            </w:r>
            <w:r>
              <w:rPr>
                <w:webHidden/>
              </w:rPr>
              <w:fldChar w:fldCharType="end"/>
            </w:r>
          </w:hyperlink>
        </w:p>
        <w:p>
          <w:pPr>
            <w:pStyle w:val="Contents1"/>
            <w:tabs>
              <w:tab w:val="clear" w:pos="708"/>
              <w:tab w:val="right" w:pos="9062" w:leader="dot"/>
            </w:tabs>
            <w:rPr>
              <w:color w:val="1F497D" w:themeColor="text2"/>
              <w:lang w:val="en-US"/>
            </w:rPr>
          </w:pPr>
          <w:hyperlink w:anchor="_Toc495387912">
            <w:r>
              <w:rPr>
                <w:webHidden/>
                <w:rStyle w:val="IndexLink"/>
                <w:rFonts w:cs="Calibri" w:cstheme="minorHAnsi"/>
                <w:b/>
                <w:color w:val="1F497D" w:themeColor="text2"/>
                <w:lang w:val="en-US"/>
              </w:rPr>
              <w:t>V. RECOMMENDATIONS</w:t>
            </w:r>
            <w:r>
              <w:rPr>
                <w:webHidden/>
              </w:rPr>
              <w:fldChar w:fldCharType="begin"/>
            </w:r>
            <w:r>
              <w:rPr>
                <w:webHidden/>
              </w:rPr>
              <w:instrText>PAGEREF _Toc495387912 \h</w:instrText>
            </w:r>
            <w:r>
              <w:rPr>
                <w:webHidden/>
              </w:rPr>
              <w:fldChar w:fldCharType="separate"/>
            </w:r>
            <w:r>
              <w:rPr>
                <w:rStyle w:val="IndexLink"/>
                <w:vanish w:val="false"/>
                <w:color w:val="1F497D" w:themeColor="text2"/>
                <w:lang w:val="en-US"/>
              </w:rPr>
              <w:tab/>
              <w:t>15</w:t>
            </w:r>
            <w:r>
              <w:rPr>
                <w:webHidden/>
              </w:rPr>
              <w:fldChar w:fldCharType="end"/>
            </w:r>
          </w:hyperlink>
        </w:p>
        <w:p>
          <w:pPr>
            <w:pStyle w:val="Normal"/>
            <w:tabs>
              <w:tab w:val="clear" w:pos="708"/>
              <w:tab w:val="left" w:pos="3093" w:leader="none"/>
            </w:tabs>
            <w:spacing w:lineRule="auto" w:line="240" w:before="0" w:after="0"/>
            <w:rPr>
              <w:rFonts w:cs="Calibri" w:cstheme="minorHAnsi"/>
              <w:color w:val="1F497D" w:themeColor="text2"/>
              <w:u w:val="none"/>
              <w:lang w:val="en-US"/>
            </w:rPr>
          </w:pPr>
          <w:r>
            <w:rPr>
              <w:rFonts w:cs="Calibri" w:cstheme="minorHAnsi"/>
              <w:b/>
              <w:color w:val="1F497D" w:themeColor="text2"/>
              <w:u w:val="none"/>
              <w:lang w:val="en-US"/>
            </w:rPr>
            <w:t>VII. BIBLIOGRAPHY</w:t>
          </w:r>
          <w:r>
            <w:rPr>
              <w:rFonts w:cs="Calibri" w:cstheme="minorHAnsi"/>
              <w:color w:val="1F497D" w:themeColor="text2"/>
              <w:u w:val="none"/>
              <w:lang w:val="en-US"/>
            </w:rPr>
            <w:t>…………………………………………………………………………………………………….…………………… 16</w:t>
          </w:r>
        </w:p>
        <w:p>
          <w:pPr>
            <w:pStyle w:val="Normal"/>
            <w:rPr>
              <w:lang w:val="en-US"/>
            </w:rPr>
          </w:pPr>
          <w:r>
            <w:rPr>
              <w:lang w:val="en-US"/>
            </w:rPr>
          </w:r>
        </w:p>
        <w:p>
          <w:pPr>
            <w:pStyle w:val="Normal"/>
            <w:rPr>
              <w:lang w:val="en-US"/>
            </w:rPr>
          </w:pPr>
          <w:r>
            <w:rPr>
              <w:lang w:val="en-US"/>
            </w:rPr>
          </w:r>
          <w:r>
            <w:rPr/>
            <w:fldChar w:fldCharType="end"/>
          </w:r>
        </w:p>
      </w:sdtContent>
    </w:sdt>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Heading1"/>
        <w:numPr>
          <w:ilvl w:val="0"/>
          <w:numId w:val="2"/>
        </w:numPr>
        <w:rPr>
          <w:rFonts w:ascii="Calibri" w:hAnsi="Calibri" w:cs="Calibri" w:asciiTheme="minorHAnsi" w:cstheme="minorHAnsi" w:hAnsiTheme="minorHAnsi"/>
          <w:sz w:val="32"/>
          <w:szCs w:val="32"/>
          <w:lang w:val="en-US"/>
        </w:rPr>
      </w:pPr>
      <w:bookmarkStart w:id="9" w:name="_Toc495387896"/>
      <w:r>
        <w:rPr>
          <w:rFonts w:cs="Calibri" w:ascii="Calibri" w:hAnsi="Calibri" w:asciiTheme="minorHAnsi" w:cstheme="minorHAnsi" w:hAnsiTheme="minorHAnsi"/>
          <w:sz w:val="32"/>
          <w:szCs w:val="32"/>
          <w:lang w:val="en-US"/>
        </w:rPr>
        <w:t>EXECUTIVE SUMMARY</w:t>
      </w:r>
      <w:bookmarkEnd w:id="9"/>
    </w:p>
    <w:p>
      <w:pPr>
        <w:pStyle w:val="Normal"/>
        <w:spacing w:lineRule="auto" w:line="240" w:before="0" w:after="0"/>
        <w:rPr>
          <w:sz w:val="32"/>
          <w:szCs w:val="32"/>
          <w:lang w:val="en-US"/>
        </w:rPr>
      </w:pPr>
      <w:r>
        <w:rPr>
          <w:sz w:val="32"/>
          <w:szCs w:val="32"/>
          <w:lang w:val="en-US"/>
        </w:rPr>
      </w:r>
    </w:p>
    <w:p>
      <w:pPr>
        <w:pStyle w:val="Normal"/>
        <w:spacing w:lineRule="auto" w:line="240" w:before="0" w:after="0"/>
        <w:jc w:val="both"/>
        <w:rPr>
          <w:rFonts w:cs="Calibri" w:cstheme="minorHAnsi"/>
          <w:lang w:val="en-US"/>
        </w:rPr>
      </w:pPr>
      <w:r>
        <w:rPr>
          <w:b/>
          <w:lang w:val="en-US"/>
        </w:rPr>
        <w:t xml:space="preserve">Background. </w:t>
      </w:r>
      <w:r>
        <w:rPr>
          <w:rFonts w:cs="Calibri" w:cstheme="minorHAnsi"/>
          <w:lang w:val="en-US"/>
        </w:rPr>
        <w:t xml:space="preserve">REVOCC project aims to adapt the educational system in the Republic of Moldova to the specific needs of the labor market, in particular by increasing the quality of </w:t>
      </w:r>
      <w:r>
        <w:rPr>
          <w:rFonts w:cs="Calibri" w:cstheme="minorHAnsi"/>
          <w:bCs/>
          <w:lang w:val="en-US"/>
        </w:rPr>
        <w:t xml:space="preserve">Vocational Orientation and Career Counseling </w:t>
      </w:r>
      <w:r>
        <w:rPr>
          <w:rFonts w:cs="Calibri" w:cstheme="minorHAnsi"/>
          <w:lang w:val="en-US"/>
        </w:rPr>
        <w:t>in schools (secondary level) and those extracurricular (within the district Employment Offices of ANOFM). The target group consists of 115 teachers and other academics from schools, public institutions such as the Ministry of Education and ANOFM. In addition, about 1,200 students of technical and vocational secondary schools will benefit from the project investments REVOCC.</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jc w:val="both"/>
        <w:rPr>
          <w:rFonts w:cs="Calibri" w:cstheme="minorHAnsi"/>
          <w:bCs/>
          <w:lang w:val="en-US"/>
        </w:rPr>
      </w:pPr>
      <w:r>
        <w:rPr>
          <w:b/>
          <w:lang w:val="en-US"/>
        </w:rPr>
        <w:t>Task description.</w:t>
      </w:r>
      <w:r>
        <w:rPr>
          <w:b/>
          <w:color w:val="1F497D" w:themeColor="text2"/>
          <w:lang w:val="en-US"/>
        </w:rPr>
        <w:t xml:space="preserve"> </w:t>
      </w:r>
      <w:r>
        <w:rPr>
          <w:rFonts w:cs="Calibri" w:cstheme="minorHAnsi"/>
          <w:lang w:val="en-US"/>
        </w:rPr>
        <w:t xml:space="preserve">The project aims to provide pupils and students with access to gender inclusive vocational orientation and career counseling services in order to support their social and economic integration or transition to upper levels of education. </w:t>
      </w:r>
      <w:r>
        <w:rPr>
          <w:rFonts w:cs="Calibri" w:cstheme="minorHAnsi"/>
          <w:bCs/>
          <w:lang w:val="en-US"/>
        </w:rPr>
        <w:t xml:space="preserve"> In this context, CEDA hired a national consultant with experience in gender issues to assess the contribution of the project in terms of equality between women and men, especially to </w:t>
      </w:r>
      <w:r>
        <w:rPr>
          <w:rFonts w:cs="Calibri" w:cstheme="minorHAnsi"/>
          <w:lang w:val="en-US"/>
        </w:rPr>
        <w:t>conduct the gender expertise of all VOCG materials developed and implemented by CEDA in the framework of REVOCC project.</w:t>
      </w:r>
    </w:p>
    <w:p>
      <w:pPr>
        <w:pStyle w:val="Normal"/>
        <w:spacing w:lineRule="auto" w:line="240" w:before="0" w:after="0"/>
        <w:jc w:val="both"/>
        <w:rPr>
          <w:b/>
          <w:b/>
          <w:lang w:val="en-US"/>
        </w:rPr>
      </w:pPr>
      <w:r>
        <w:rPr>
          <w:b/>
          <w:lang w:val="en-US"/>
        </w:rPr>
        <w:t xml:space="preserve">This report will base its assessment by comparing the gap between gender relevancy and gender mainstreaming score.  </w:t>
      </w:r>
      <w:r>
        <w:rPr>
          <w:lang w:val="en-US"/>
        </w:rPr>
        <w:t xml:space="preserve">A scoring for each lesson in each manual for every grade will be calculated based on the above described criteria and a gap will be calculated. In the context of this assessment, a gap between relevancy and gender mainstreaming score of more than 1 (one) point should be addressed by the team. The figures presented below, indicate the core approach in evaluating gender equality of VOCG materials. </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jc w:val="both"/>
        <w:rPr>
          <w:color w:val="1F497D" w:themeColor="text2"/>
          <w:lang w:val="en-US"/>
        </w:rPr>
      </w:pPr>
      <w:r>
        <w:rPr>
          <w:rFonts w:cs="Calibri" w:cstheme="minorHAnsi"/>
          <w:b/>
          <w:bCs/>
          <w:lang w:val="en-US"/>
        </w:rPr>
        <w:t xml:space="preserve">Vocational orientation and career counseling are a gender relevant topic. </w:t>
      </w:r>
      <w:r>
        <w:rPr>
          <w:rFonts w:cs="Calibri" w:cstheme="minorHAnsi"/>
          <w:bCs/>
          <w:lang w:val="en-US"/>
        </w:rPr>
        <w:t xml:space="preserve">Based on available data, the assessment found significant gender differences in the academic performance; time spent reading/studying, intended career path and career options, academic subject and job preference. These gender inequalities indicate a clear need of a gender sensitive approach to vocational orientation and career counseling including gender sensitive materials. </w:t>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jc w:val="both"/>
        <w:rPr>
          <w:lang w:val="en-US"/>
        </w:rPr>
      </w:pPr>
      <w:r>
        <w:rPr>
          <w:b/>
          <w:lang w:val="en-US"/>
        </w:rPr>
        <w:t xml:space="preserve">The assessment finds that VOCG materials are gender aware. </w:t>
      </w:r>
      <w:r>
        <w:rPr>
          <w:lang w:val="en-US"/>
        </w:rPr>
        <w:t>The average score on gender relevancy for all VOCG materials is 2,5 (out of 4) and the average score for gender mainstreaming is 2,3, the gender gap (the difference between the two) is not that significant. The VOCG materials take a very individual approach and help students to assess critically their career path decisions. This approach will help both the teachers and students to challenge any traditional gender roles and stereotypes.</w:t>
      </w:r>
    </w:p>
    <w:p>
      <w:pPr>
        <w:pStyle w:val="Heading1"/>
        <w:ind w:left="1080" w:hanging="0"/>
        <w:rPr>
          <w:rFonts w:ascii="Calibri" w:hAnsi="Calibri" w:cs="Calibri" w:asciiTheme="minorHAnsi" w:cstheme="minorHAnsi" w:hAnsiTheme="minorHAnsi"/>
          <w:sz w:val="32"/>
          <w:szCs w:val="32"/>
          <w:lang w:val="en-US"/>
        </w:rPr>
      </w:pPr>
      <w:bookmarkStart w:id="10" w:name="_Toc495387897"/>
      <w:r>
        <w:rPr>
          <w:rFonts w:cs="Calibri" w:ascii="Calibri" w:hAnsi="Calibri" w:asciiTheme="minorHAnsi" w:cstheme="minorHAnsi" w:hAnsiTheme="minorHAnsi"/>
          <w:sz w:val="32"/>
          <w:szCs w:val="32"/>
          <w:lang w:val="en-US"/>
        </w:rPr>
        <w:t>II. METHODOLOGY</w:t>
      </w:r>
      <w:bookmarkEnd w:id="10"/>
      <w:r>
        <w:rPr>
          <w:rFonts w:cs="Calibri" w:ascii="Calibri" w:hAnsi="Calibri" w:asciiTheme="minorHAnsi" w:cstheme="minorHAnsi" w:hAnsiTheme="minorHAnsi"/>
          <w:sz w:val="32"/>
          <w:szCs w:val="32"/>
          <w:lang w:val="en-US"/>
        </w:rPr>
        <w:t xml:space="preserve"> </w:t>
      </w:r>
    </w:p>
    <w:p>
      <w:pPr>
        <w:pStyle w:val="Normal"/>
        <w:spacing w:lineRule="auto" w:line="240" w:before="0" w:after="0"/>
        <w:rPr>
          <w:color w:val="1F497D" w:themeColor="text2"/>
          <w:lang w:val="en-US"/>
        </w:rPr>
      </w:pPr>
      <w:r>
        <w:rPr>
          <w:color w:val="1F497D" w:themeColor="text2"/>
          <w:lang w:val="en-US"/>
        </w:rPr>
      </w:r>
    </w:p>
    <w:p>
      <w:pPr>
        <w:pStyle w:val="Normal"/>
        <w:spacing w:lineRule="auto" w:line="240" w:before="0" w:after="0"/>
        <w:jc w:val="both"/>
        <w:rPr>
          <w:lang w:val="en-US"/>
        </w:rPr>
      </w:pPr>
      <w:r>
        <w:rPr>
          <w:b/>
          <w:lang w:val="en-US"/>
        </w:rPr>
        <w:t xml:space="preserve">Gender equality assessment at is simples is a two-step process. </w:t>
      </w:r>
      <w:r>
        <w:rPr>
          <w:lang w:val="en-US"/>
        </w:rPr>
        <w:t xml:space="preserve">At first one needs to identify all relevant gender inequalities in the sector of the Program. This will help to give an overall understanding of the potential gender relevancy of the activities and in our case al VOCG materials are. The level of gender gaps (gender relevancy) will indicate the need of gender mainstreaming. </w:t>
      </w:r>
    </w:p>
    <w:p>
      <w:pPr>
        <w:pStyle w:val="Normal"/>
        <w:spacing w:lineRule="auto" w:line="240" w:before="0" w:after="0"/>
        <w:jc w:val="both"/>
        <w:rPr>
          <w:lang w:val="en-US"/>
        </w:rPr>
      </w:pPr>
      <w:r>
        <w:rPr>
          <w:lang w:val="en-US"/>
        </w:rPr>
      </w:r>
    </w:p>
    <w:p>
      <w:pPr>
        <w:pStyle w:val="Normal"/>
        <w:spacing w:lineRule="auto" w:line="240" w:before="0" w:after="0"/>
        <w:jc w:val="both"/>
        <w:rPr>
          <w:lang w:val="en-US"/>
        </w:rPr>
      </w:pPr>
      <w:r>
        <w:rPr/>
        <w:drawing>
          <wp:inline distT="0" distB="0" distL="0" distR="0">
            <wp:extent cx="6215380" cy="1995805"/>
            <wp:effectExtent l="38100" t="0" r="0"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Normal"/>
        <w:spacing w:lineRule="auto" w:line="240" w:before="0" w:after="0"/>
        <w:jc w:val="both"/>
        <w:rPr>
          <w:lang w:val="en-US"/>
        </w:rPr>
      </w:pPr>
      <w:r>
        <w:rPr>
          <w:lang w:val="en-US"/>
        </w:rPr>
      </w:r>
    </w:p>
    <w:p>
      <w:pPr>
        <w:pStyle w:val="Normal"/>
        <w:spacing w:lineRule="auto" w:line="240" w:before="0" w:after="0"/>
        <w:jc w:val="both"/>
        <w:rPr>
          <w:color w:val="000000" w:themeColor="text1"/>
          <w:lang w:val="en-US"/>
        </w:rPr>
      </w:pPr>
      <w:r>
        <w:rPr>
          <w:b/>
          <w:lang w:val="en-US"/>
        </w:rPr>
        <w:t xml:space="preserve">Gender relevancy is measured based on a scoring framework. </w:t>
      </w:r>
      <w:r>
        <w:rPr>
          <w:lang w:val="en-US"/>
        </w:rPr>
        <w:t xml:space="preserve">Which is presented in the table below and measures gender relevancy from 0 (zero) – lowest level of relevancy to 4 (four) – the highest level of relevancy. </w:t>
      </w:r>
      <w:r>
        <w:rPr>
          <w:color w:val="000000" w:themeColor="text1"/>
          <w:lang w:val="en-US"/>
        </w:rPr>
        <w:t xml:space="preserve">Gender equality relevancy will be determined using the concept of gender gaps which is the difference between the average values of male and female indicators relevant to the Program outcomes. In the case of VOCG materials, gender relevancy will be scored based on the themes of each lesson from the VOCG manuals.  </w:t>
      </w:r>
    </w:p>
    <w:p>
      <w:pPr>
        <w:pStyle w:val="Normal"/>
        <w:spacing w:lineRule="auto" w:line="240" w:before="0" w:after="0"/>
        <w:jc w:val="both"/>
        <w:rPr>
          <w:lang w:val="en-US"/>
        </w:rPr>
      </w:pPr>
      <w:r>
        <w:rPr>
          <w:lang w:val="en-US"/>
        </w:rPr>
      </w:r>
    </w:p>
    <w:tbl>
      <w:tblPr>
        <w:tblStyle w:val="Style1"/>
        <w:tblW w:w="7368" w:type="dxa"/>
        <w:jc w:val="left"/>
        <w:tblInd w:w="0" w:type="dxa"/>
        <w:tblCellMar>
          <w:top w:w="0" w:type="dxa"/>
          <w:left w:w="107" w:type="dxa"/>
          <w:bottom w:w="0" w:type="dxa"/>
          <w:right w:w="108" w:type="dxa"/>
        </w:tblCellMar>
        <w:tblLook w:firstRow="1" w:noVBand="1" w:lastRow="0" w:firstColumn="1" w:lastColumn="0" w:noHBand="0" w:val="04a0"/>
      </w:tblPr>
      <w:tblGrid>
        <w:gridCol w:w="1883"/>
        <w:gridCol w:w="2743"/>
        <w:gridCol w:w="2742"/>
      </w:tblGrid>
      <w:tr>
        <w:trPr>
          <w:cnfStyle w:val="100000000000" w:firstRow="1" w:lastRow="0" w:firstColumn="0" w:lastColumn="0" w:oddVBand="0" w:evenVBand="0" w:oddHBand="0" w:evenHBand="0" w:firstRowFirstColumn="0" w:firstRowLastColumn="0" w:lastRowFirstColumn="0" w:lastRowLastColumn="0"/>
        </w:trPr>
        <w:tc>
          <w:tcPr>
            <w:tcW w:w="1883" w:type="dxa"/>
            <w:tcBorders/>
            <w:shd w:color="000000" w:fill="FFFFFF" w:val="solid"/>
          </w:tcPr>
          <w:p>
            <w:pPr>
              <w:pStyle w:val="Normal"/>
              <w:spacing w:lineRule="auto" w:line="240" w:before="0" w:after="0"/>
              <w:jc w:val="center"/>
              <w:rPr>
                <w:b w:val="false"/>
                <w:b w:val="false"/>
                <w:lang w:val="en-US"/>
              </w:rPr>
            </w:pPr>
            <w:r>
              <w:rPr>
                <w:b/>
                <w:bCs/>
                <w:color w:val="auto"/>
                <w:lang w:val="en-US"/>
              </w:rPr>
              <w:t>Gender Gaps</w:t>
            </w:r>
          </w:p>
        </w:tc>
        <w:tc>
          <w:tcPr>
            <w:tcW w:w="2743" w:type="dxa"/>
            <w:tcBorders/>
            <w:shd w:color="000000" w:fill="FFFFFF" w:val="solid"/>
          </w:tcPr>
          <w:p>
            <w:pPr>
              <w:pStyle w:val="Normal"/>
              <w:spacing w:lineRule="auto" w:line="240" w:before="0" w:after="0"/>
              <w:jc w:val="center"/>
              <w:rPr>
                <w:b w:val="false"/>
                <w:b w:val="false"/>
                <w:lang w:val="en-US"/>
              </w:rPr>
            </w:pPr>
            <w:r>
              <w:rPr>
                <w:b/>
                <w:bCs/>
                <w:color w:val="auto"/>
                <w:lang w:val="en-US"/>
              </w:rPr>
              <w:t xml:space="preserve">GE relevancy </w:t>
            </w:r>
          </w:p>
        </w:tc>
        <w:tc>
          <w:tcPr>
            <w:tcW w:w="2742" w:type="dxa"/>
            <w:tcBorders/>
            <w:shd w:color="000000" w:fill="FFFFFF" w:val="solid"/>
          </w:tcPr>
          <w:p>
            <w:pPr>
              <w:pStyle w:val="Normal"/>
              <w:spacing w:lineRule="auto" w:line="240" w:before="0" w:after="0"/>
              <w:jc w:val="center"/>
              <w:rPr>
                <w:lang w:val="en-US"/>
              </w:rPr>
            </w:pPr>
            <w:r>
              <w:rPr>
                <w:b/>
                <w:bCs/>
                <w:color w:val="auto"/>
                <w:lang w:val="en-US"/>
              </w:rPr>
              <w:t xml:space="preserve">GE relevancy scoring </w:t>
            </w:r>
          </w:p>
        </w:tc>
      </w:tr>
      <w:tr>
        <w:trPr/>
        <w:tc>
          <w:tcPr>
            <w:tcW w:w="1883" w:type="dxa"/>
            <w:tcBorders/>
            <w:shd w:fill="auto" w:val="clear"/>
          </w:tcPr>
          <w:p>
            <w:pPr>
              <w:pStyle w:val="Normal"/>
              <w:spacing w:lineRule="auto" w:line="240" w:before="0" w:after="0"/>
              <w:jc w:val="both"/>
              <w:rPr>
                <w:lang w:val="en-US"/>
              </w:rPr>
            </w:pPr>
            <w:r>
              <w:rPr>
                <w:lang w:val="en-US"/>
              </w:rPr>
              <w:t>0%</w:t>
            </w:r>
          </w:p>
        </w:tc>
        <w:tc>
          <w:tcPr>
            <w:tcW w:w="2743" w:type="dxa"/>
            <w:tcBorders/>
            <w:shd w:fill="auto" w:val="clear"/>
          </w:tcPr>
          <w:p>
            <w:pPr>
              <w:pStyle w:val="Normal"/>
              <w:spacing w:lineRule="auto" w:line="240" w:before="0" w:after="0"/>
              <w:jc w:val="both"/>
              <w:rPr>
                <w:lang w:val="en-US"/>
              </w:rPr>
            </w:pPr>
            <w:r>
              <w:rPr>
                <w:lang w:val="en-US"/>
              </w:rPr>
              <w:t>Not relevant</w:t>
            </w:r>
          </w:p>
        </w:tc>
        <w:tc>
          <w:tcPr>
            <w:tcW w:w="2742" w:type="dxa"/>
            <w:tcBorders/>
            <w:shd w:fill="auto" w:val="clear"/>
          </w:tcPr>
          <w:p>
            <w:pPr>
              <w:pStyle w:val="Normal"/>
              <w:spacing w:lineRule="auto" w:line="240" w:before="0" w:after="0"/>
              <w:jc w:val="center"/>
              <w:rPr>
                <w:lang w:val="en-US"/>
              </w:rPr>
            </w:pPr>
            <w:r>
              <w:rPr>
                <w:lang w:val="en-US"/>
              </w:rPr>
              <w:t>0</w:t>
            </w:r>
          </w:p>
        </w:tc>
      </w:tr>
      <w:tr>
        <w:trPr/>
        <w:tc>
          <w:tcPr>
            <w:tcW w:w="1883" w:type="dxa"/>
            <w:tcBorders/>
            <w:shd w:fill="auto" w:val="clear"/>
          </w:tcPr>
          <w:p>
            <w:pPr>
              <w:pStyle w:val="Normal"/>
              <w:spacing w:lineRule="auto" w:line="240" w:before="0" w:after="0"/>
              <w:jc w:val="both"/>
              <w:rPr>
                <w:lang w:val="en-US"/>
              </w:rPr>
            </w:pPr>
            <w:r>
              <w:rPr>
                <w:lang w:val="en-US"/>
              </w:rPr>
              <w:t xml:space="preserve">1 – 4% </w:t>
            </w:r>
          </w:p>
        </w:tc>
        <w:tc>
          <w:tcPr>
            <w:tcW w:w="2743" w:type="dxa"/>
            <w:tcBorders/>
            <w:shd w:fill="auto" w:val="clear"/>
          </w:tcPr>
          <w:p>
            <w:pPr>
              <w:pStyle w:val="Normal"/>
              <w:spacing w:lineRule="auto" w:line="240" w:before="0" w:after="0"/>
              <w:jc w:val="both"/>
              <w:rPr>
                <w:lang w:val="en-US"/>
              </w:rPr>
            </w:pPr>
            <w:r>
              <w:rPr>
                <w:lang w:val="en-US"/>
              </w:rPr>
              <w:t xml:space="preserve">Weak relevancy </w:t>
            </w:r>
          </w:p>
        </w:tc>
        <w:tc>
          <w:tcPr>
            <w:tcW w:w="2742" w:type="dxa"/>
            <w:tcBorders/>
            <w:shd w:fill="auto" w:val="clear"/>
          </w:tcPr>
          <w:p>
            <w:pPr>
              <w:pStyle w:val="Normal"/>
              <w:spacing w:lineRule="auto" w:line="240" w:before="0" w:after="0"/>
              <w:jc w:val="center"/>
              <w:rPr>
                <w:lang w:val="en-US"/>
              </w:rPr>
            </w:pPr>
            <w:r>
              <w:rPr>
                <w:lang w:val="en-US"/>
              </w:rPr>
              <w:t>0,5 - 1</w:t>
            </w:r>
          </w:p>
        </w:tc>
      </w:tr>
      <w:tr>
        <w:trPr/>
        <w:tc>
          <w:tcPr>
            <w:tcW w:w="1883" w:type="dxa"/>
            <w:tcBorders/>
            <w:shd w:fill="auto" w:val="clear"/>
          </w:tcPr>
          <w:p>
            <w:pPr>
              <w:pStyle w:val="Normal"/>
              <w:spacing w:lineRule="auto" w:line="240" w:before="0" w:after="0"/>
              <w:jc w:val="both"/>
              <w:rPr>
                <w:lang w:val="en-US"/>
              </w:rPr>
            </w:pPr>
            <w:r>
              <w:rPr>
                <w:lang w:val="en-US"/>
              </w:rPr>
              <w:t>5 – 9%</w:t>
            </w:r>
          </w:p>
        </w:tc>
        <w:tc>
          <w:tcPr>
            <w:tcW w:w="2743" w:type="dxa"/>
            <w:tcBorders/>
            <w:shd w:fill="auto" w:val="clear"/>
          </w:tcPr>
          <w:p>
            <w:pPr>
              <w:pStyle w:val="Normal"/>
              <w:spacing w:lineRule="auto" w:line="240" w:before="0" w:after="0"/>
              <w:jc w:val="both"/>
              <w:rPr>
                <w:lang w:val="en-US"/>
              </w:rPr>
            </w:pPr>
            <w:r>
              <w:rPr>
                <w:lang w:val="en-US"/>
              </w:rPr>
              <w:t>Gender relevant</w:t>
            </w:r>
          </w:p>
        </w:tc>
        <w:tc>
          <w:tcPr>
            <w:tcW w:w="2742" w:type="dxa"/>
            <w:tcBorders/>
            <w:shd w:fill="auto" w:val="clear"/>
          </w:tcPr>
          <w:p>
            <w:pPr>
              <w:pStyle w:val="Normal"/>
              <w:spacing w:lineRule="auto" w:line="240" w:before="0" w:after="0"/>
              <w:jc w:val="center"/>
              <w:rPr>
                <w:lang w:val="en-US"/>
              </w:rPr>
            </w:pPr>
            <w:r>
              <w:rPr>
                <w:lang w:val="en-US"/>
              </w:rPr>
              <w:t xml:space="preserve">1 - 2 </w:t>
            </w:r>
          </w:p>
        </w:tc>
      </w:tr>
      <w:tr>
        <w:trPr>
          <w:trHeight w:val="59" w:hRule="atLeast"/>
        </w:trPr>
        <w:tc>
          <w:tcPr>
            <w:tcW w:w="1883" w:type="dxa"/>
            <w:tcBorders/>
            <w:shd w:fill="auto" w:val="clear"/>
          </w:tcPr>
          <w:p>
            <w:pPr>
              <w:pStyle w:val="Normal"/>
              <w:spacing w:lineRule="auto" w:line="240" w:before="0" w:after="0"/>
              <w:jc w:val="both"/>
              <w:rPr>
                <w:lang w:val="en-US"/>
              </w:rPr>
            </w:pPr>
            <w:r>
              <w:rPr>
                <w:lang w:val="en-US"/>
              </w:rPr>
              <w:t>10 – 19%</w:t>
            </w:r>
          </w:p>
        </w:tc>
        <w:tc>
          <w:tcPr>
            <w:tcW w:w="2743" w:type="dxa"/>
            <w:tcBorders/>
            <w:shd w:fill="auto" w:val="clear"/>
          </w:tcPr>
          <w:p>
            <w:pPr>
              <w:pStyle w:val="Normal"/>
              <w:spacing w:lineRule="auto" w:line="240" w:before="0" w:after="0"/>
              <w:jc w:val="both"/>
              <w:rPr>
                <w:lang w:val="en-US"/>
              </w:rPr>
            </w:pPr>
            <w:r>
              <w:rPr>
                <w:lang w:val="en-US"/>
              </w:rPr>
              <w:t>Significant relevancy</w:t>
            </w:r>
          </w:p>
        </w:tc>
        <w:tc>
          <w:tcPr>
            <w:tcW w:w="2742" w:type="dxa"/>
            <w:tcBorders/>
            <w:shd w:fill="auto" w:val="clear"/>
          </w:tcPr>
          <w:p>
            <w:pPr>
              <w:pStyle w:val="Normal"/>
              <w:spacing w:lineRule="auto" w:line="240" w:before="0" w:after="0"/>
              <w:jc w:val="center"/>
              <w:rPr>
                <w:lang w:val="en-US"/>
              </w:rPr>
            </w:pPr>
            <w:r>
              <w:rPr>
                <w:lang w:val="en-US"/>
              </w:rPr>
              <w:t>2 -3</w:t>
            </w:r>
          </w:p>
        </w:tc>
      </w:tr>
      <w:tr>
        <w:trPr/>
        <w:tc>
          <w:tcPr>
            <w:tcW w:w="1883" w:type="dxa"/>
            <w:tcBorders/>
            <w:shd w:fill="auto" w:val="clear"/>
          </w:tcPr>
          <w:p>
            <w:pPr>
              <w:pStyle w:val="Normal"/>
              <w:spacing w:lineRule="auto" w:line="240" w:before="0" w:after="0"/>
              <w:jc w:val="both"/>
              <w:rPr>
                <w:lang w:val="en-US"/>
              </w:rPr>
            </w:pPr>
            <w:r>
              <w:rPr>
                <w:lang w:val="en-US"/>
              </w:rPr>
              <w:t>20% +</w:t>
            </w:r>
          </w:p>
        </w:tc>
        <w:tc>
          <w:tcPr>
            <w:tcW w:w="2743" w:type="dxa"/>
            <w:tcBorders/>
            <w:shd w:fill="auto" w:val="clear"/>
          </w:tcPr>
          <w:p>
            <w:pPr>
              <w:pStyle w:val="Normal"/>
              <w:spacing w:lineRule="auto" w:line="240" w:before="0" w:after="0"/>
              <w:jc w:val="both"/>
              <w:rPr>
                <w:lang w:val="en-US"/>
              </w:rPr>
            </w:pPr>
            <w:r>
              <w:rPr>
                <w:lang w:val="en-US"/>
              </w:rPr>
              <w:t xml:space="preserve">High relevancy </w:t>
            </w:r>
          </w:p>
        </w:tc>
        <w:tc>
          <w:tcPr>
            <w:tcW w:w="2742" w:type="dxa"/>
            <w:tcBorders/>
            <w:shd w:fill="auto" w:val="clear"/>
          </w:tcPr>
          <w:p>
            <w:pPr>
              <w:pStyle w:val="Normal"/>
              <w:spacing w:lineRule="auto" w:line="240" w:before="0" w:after="0"/>
              <w:jc w:val="center"/>
              <w:rPr>
                <w:lang w:val="en-US"/>
              </w:rPr>
            </w:pPr>
            <w:r>
              <w:rPr>
                <w:lang w:val="en-US"/>
              </w:rPr>
              <w:t>3 - 4</w:t>
            </w:r>
          </w:p>
        </w:tc>
      </w:tr>
    </w:tbl>
    <w:p>
      <w:pPr>
        <w:pStyle w:val="Normal"/>
        <w:spacing w:lineRule="auto" w:line="240" w:before="0" w:after="0"/>
        <w:rPr>
          <w:b/>
          <w:b/>
          <w:lang w:val="en-US"/>
        </w:rPr>
      </w:pPr>
      <w:r>
        <w:rPr>
          <w:b/>
          <w:lang w:val="en-US"/>
        </w:rPr>
      </w:r>
    </w:p>
    <w:p>
      <w:pPr>
        <w:pStyle w:val="Normal"/>
        <w:spacing w:lineRule="auto" w:line="240" w:before="0" w:after="0"/>
        <w:rPr>
          <w:lang w:val="en-US"/>
        </w:rPr>
      </w:pPr>
      <w:r>
        <w:rPr>
          <w:b/>
          <w:lang w:val="en-US"/>
        </w:rPr>
        <w:t xml:space="preserve">Gender mainstreaming level is measured using a similar scoring framework. </w:t>
      </w:r>
      <w:r>
        <w:rPr>
          <w:lang w:val="en-US"/>
        </w:rPr>
        <w:t xml:space="preserve">The content of each lesson will be assessed and scored using the framework described in the table below.  </w:t>
      </w:r>
    </w:p>
    <w:p>
      <w:pPr>
        <w:pStyle w:val="Normal"/>
        <w:spacing w:lineRule="auto" w:line="240" w:before="0" w:after="0"/>
        <w:rPr>
          <w:b/>
          <w:b/>
          <w:lang w:val="en-US"/>
        </w:rPr>
      </w:pPr>
      <w:r>
        <w:rPr>
          <w:b/>
          <w:lang w:val="en-US"/>
        </w:rPr>
      </w:r>
    </w:p>
    <w:tbl>
      <w:tblPr>
        <w:tblStyle w:val="Style1"/>
        <w:tblW w:w="9464" w:type="dxa"/>
        <w:jc w:val="left"/>
        <w:tblInd w:w="0" w:type="dxa"/>
        <w:tblCellMar>
          <w:top w:w="0" w:type="dxa"/>
          <w:left w:w="107" w:type="dxa"/>
          <w:bottom w:w="0" w:type="dxa"/>
          <w:right w:w="108" w:type="dxa"/>
        </w:tblCellMar>
        <w:tblLook w:firstRow="1" w:noVBand="1" w:lastRow="0" w:firstColumn="1" w:lastColumn="0" w:noHBand="0" w:val="04a0"/>
      </w:tblPr>
      <w:tblGrid>
        <w:gridCol w:w="2093"/>
        <w:gridCol w:w="5812"/>
        <w:gridCol w:w="1559"/>
      </w:tblGrid>
      <w:tr>
        <w:trPr>
          <w:cnfStyle w:val="100000000000" w:firstRow="1" w:lastRow="0" w:firstColumn="0" w:lastColumn="0" w:oddVBand="0" w:evenVBand="0" w:oddHBand="0" w:evenHBand="0" w:firstRowFirstColumn="0" w:firstRowLastColumn="0" w:lastRowFirstColumn="0" w:lastRowLastColumn="0"/>
        </w:trPr>
        <w:tc>
          <w:tcPr>
            <w:tcW w:w="2093" w:type="dxa"/>
            <w:tcBorders/>
            <w:shd w:color="000000" w:fill="FFFFFF" w:val="solid"/>
          </w:tcPr>
          <w:p>
            <w:pPr>
              <w:pStyle w:val="Normal"/>
              <w:spacing w:lineRule="auto" w:line="240" w:before="0" w:after="0"/>
              <w:jc w:val="center"/>
              <w:rPr>
                <w:b w:val="false"/>
                <w:b w:val="false"/>
                <w:lang w:val="en-US"/>
              </w:rPr>
            </w:pPr>
            <w:r>
              <w:rPr>
                <w:b w:val="false"/>
                <w:bCs/>
                <w:color w:val="auto"/>
                <w:lang w:val="en-US"/>
              </w:rPr>
              <w:t>Level of gender mainstreaming</w:t>
            </w:r>
          </w:p>
        </w:tc>
        <w:tc>
          <w:tcPr>
            <w:tcW w:w="5812" w:type="dxa"/>
            <w:tcBorders/>
            <w:shd w:color="000000" w:fill="FFFFFF" w:val="solid"/>
          </w:tcPr>
          <w:p>
            <w:pPr>
              <w:pStyle w:val="Normal"/>
              <w:spacing w:lineRule="auto" w:line="240" w:before="0" w:after="0"/>
              <w:jc w:val="center"/>
              <w:rPr>
                <w:b w:val="false"/>
                <w:b w:val="false"/>
                <w:lang w:val="en-US"/>
              </w:rPr>
            </w:pPr>
            <w:r>
              <w:rPr>
                <w:b w:val="false"/>
                <w:bCs/>
                <w:color w:val="auto"/>
                <w:lang w:val="en-US"/>
              </w:rPr>
              <w:t>Description</w:t>
            </w:r>
          </w:p>
        </w:tc>
        <w:tc>
          <w:tcPr>
            <w:tcW w:w="1559" w:type="dxa"/>
            <w:tcBorders/>
            <w:shd w:color="000000" w:fill="FFFFFF" w:val="solid"/>
          </w:tcPr>
          <w:p>
            <w:pPr>
              <w:pStyle w:val="Normal"/>
              <w:spacing w:lineRule="auto" w:line="240" w:before="0" w:after="0"/>
              <w:jc w:val="center"/>
              <w:rPr>
                <w:b w:val="false"/>
                <w:b w:val="false"/>
                <w:lang w:val="en-US"/>
              </w:rPr>
            </w:pPr>
            <w:r>
              <w:rPr>
                <w:b w:val="false"/>
                <w:bCs/>
                <w:color w:val="auto"/>
                <w:lang w:val="en-US"/>
              </w:rPr>
              <w:t>Scoring</w:t>
            </w:r>
          </w:p>
        </w:tc>
      </w:tr>
      <w:tr>
        <w:trPr/>
        <w:tc>
          <w:tcPr>
            <w:tcW w:w="2093" w:type="dxa"/>
            <w:tcBorders/>
            <w:shd w:fill="auto" w:val="clear"/>
          </w:tcPr>
          <w:p>
            <w:pPr>
              <w:pStyle w:val="Normal"/>
              <w:spacing w:lineRule="auto" w:line="240" w:before="0" w:after="0"/>
              <w:rPr>
                <w:b/>
                <w:b/>
                <w:lang w:val="en-US"/>
              </w:rPr>
            </w:pPr>
            <w:r>
              <w:rPr>
                <w:b/>
                <w:lang w:val="en-US"/>
              </w:rPr>
            </w:r>
          </w:p>
          <w:p>
            <w:pPr>
              <w:pStyle w:val="Normal"/>
              <w:spacing w:lineRule="auto" w:line="240" w:before="0" w:after="0"/>
              <w:rPr>
                <w:lang w:val="en-US"/>
              </w:rPr>
            </w:pPr>
            <w:r>
              <w:rPr>
                <w:b/>
                <w:lang w:val="en-US"/>
              </w:rPr>
              <w:t>Level 1: Gender-unequal</w:t>
            </w:r>
            <w:r>
              <w:rPr>
                <w:lang w:val="en-US"/>
              </w:rPr>
              <w:t xml:space="preserve"> </w:t>
            </w:r>
          </w:p>
          <w:p>
            <w:pPr>
              <w:pStyle w:val="Normal"/>
              <w:spacing w:lineRule="auto" w:line="240" w:before="0" w:after="0"/>
              <w:rPr>
                <w:b/>
                <w:b/>
                <w:lang w:val="en-US"/>
              </w:rPr>
            </w:pPr>
            <w:r>
              <w:rPr>
                <w:b/>
                <w:lang w:val="en-US"/>
              </w:rPr>
            </w:r>
          </w:p>
        </w:tc>
        <w:tc>
          <w:tcPr>
            <w:tcW w:w="5812" w:type="dxa"/>
            <w:tcBorders/>
            <w:shd w:fill="auto" w:val="clear"/>
          </w:tcPr>
          <w:p>
            <w:pPr>
              <w:pStyle w:val="Normal"/>
              <w:spacing w:lineRule="auto" w:line="240" w:before="0" w:after="0"/>
              <w:rPr>
                <w:lang w:val="en-US"/>
              </w:rPr>
            </w:pPr>
            <w:r>
              <w:rPr>
                <w:lang w:val="en-US"/>
              </w:rPr>
              <w:t xml:space="preserve">• </w:t>
            </w:r>
            <w:r>
              <w:rPr>
                <w:lang w:val="en-US"/>
              </w:rPr>
              <w:t>Perpetuates gender inequality by reinforcing unbalanced norms, roles and relations</w:t>
            </w:r>
          </w:p>
          <w:p>
            <w:pPr>
              <w:pStyle w:val="Normal"/>
              <w:spacing w:lineRule="auto" w:line="240" w:before="0" w:after="0"/>
              <w:rPr>
                <w:lang w:val="en-US"/>
              </w:rPr>
            </w:pPr>
            <w:r>
              <w:rPr>
                <w:lang w:val="en-US"/>
              </w:rPr>
              <w:t xml:space="preserve"> • </w:t>
            </w:r>
            <w:r>
              <w:rPr>
                <w:lang w:val="en-US"/>
              </w:rPr>
              <w:t xml:space="preserve">Privileges men over women (or vice versa) </w:t>
            </w:r>
          </w:p>
          <w:p>
            <w:pPr>
              <w:pStyle w:val="Normal"/>
              <w:spacing w:lineRule="auto" w:line="240" w:before="0" w:after="0"/>
              <w:rPr>
                <w:lang w:val="en-US"/>
              </w:rPr>
            </w:pPr>
            <w:r>
              <w:rPr>
                <w:lang w:val="en-US"/>
              </w:rPr>
              <w:t xml:space="preserve">• </w:t>
            </w:r>
            <w:r>
              <w:rPr>
                <w:lang w:val="en-US"/>
              </w:rPr>
              <w:t>Often leads to one sex enjoying more rights or opportunities than the other.</w:t>
            </w:r>
          </w:p>
          <w:p>
            <w:pPr>
              <w:pStyle w:val="Normal"/>
              <w:spacing w:lineRule="auto" w:line="240" w:before="0" w:after="0"/>
              <w:rPr>
                <w:b/>
                <w:b/>
                <w:lang w:val="en-US"/>
              </w:rPr>
            </w:pPr>
            <w:r>
              <w:rPr>
                <w:b/>
                <w:lang w:val="en-US"/>
              </w:rPr>
            </w:r>
          </w:p>
        </w:tc>
        <w:tc>
          <w:tcPr>
            <w:tcW w:w="1559" w:type="dxa"/>
            <w:tcBorders/>
            <w:shd w:fill="auto" w:val="clear"/>
          </w:tcPr>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t>0</w:t>
            </w:r>
          </w:p>
        </w:tc>
      </w:tr>
      <w:tr>
        <w:trPr/>
        <w:tc>
          <w:tcPr>
            <w:tcW w:w="2093" w:type="dxa"/>
            <w:tcBorders/>
            <w:shd w:fill="auto" w:val="clear"/>
          </w:tcPr>
          <w:p>
            <w:pPr>
              <w:pStyle w:val="Normal"/>
              <w:spacing w:lineRule="auto" w:line="240" w:before="0" w:after="0"/>
              <w:rPr>
                <w:b/>
                <w:b/>
                <w:lang w:val="en-US"/>
              </w:rPr>
            </w:pPr>
            <w:r>
              <w:rPr>
                <w:b/>
                <w:lang w:val="en-US"/>
              </w:rPr>
            </w:r>
          </w:p>
          <w:p>
            <w:pPr>
              <w:pStyle w:val="Normal"/>
              <w:spacing w:lineRule="auto" w:line="240" w:before="0" w:after="0"/>
              <w:rPr>
                <w:lang w:val="en-US"/>
              </w:rPr>
            </w:pPr>
            <w:r>
              <w:rPr>
                <w:b/>
                <w:lang w:val="en-US"/>
              </w:rPr>
              <w:t>Level 2: Gender-blind</w:t>
            </w:r>
            <w:r>
              <w:rPr>
                <w:lang w:val="en-US"/>
              </w:rPr>
              <w:t xml:space="preserve"> </w:t>
            </w:r>
          </w:p>
          <w:p>
            <w:pPr>
              <w:pStyle w:val="Normal"/>
              <w:spacing w:lineRule="auto" w:line="240" w:before="0" w:after="0"/>
              <w:rPr>
                <w:b/>
                <w:b/>
                <w:lang w:val="en-US"/>
              </w:rPr>
            </w:pPr>
            <w:r>
              <w:rPr>
                <w:b/>
                <w:lang w:val="en-US"/>
              </w:rPr>
            </w:r>
          </w:p>
        </w:tc>
        <w:tc>
          <w:tcPr>
            <w:tcW w:w="5812" w:type="dxa"/>
            <w:tcBorders/>
            <w:shd w:fill="auto" w:val="clear"/>
          </w:tcPr>
          <w:p>
            <w:pPr>
              <w:pStyle w:val="Normal"/>
              <w:spacing w:lineRule="auto" w:line="240" w:before="0" w:after="0"/>
              <w:rPr>
                <w:lang w:val="en-US"/>
              </w:rPr>
            </w:pPr>
            <w:r>
              <w:rPr>
                <w:lang w:val="en-US"/>
              </w:rPr>
              <w:t xml:space="preserve">• </w:t>
            </w:r>
            <w:r>
              <w:rPr>
                <w:lang w:val="en-US"/>
              </w:rPr>
              <w:t xml:space="preserve">Ignores gender norms, roles and relations </w:t>
            </w:r>
          </w:p>
          <w:p>
            <w:pPr>
              <w:pStyle w:val="Normal"/>
              <w:spacing w:lineRule="auto" w:line="240" w:before="0" w:after="0"/>
              <w:rPr>
                <w:lang w:val="en-US"/>
              </w:rPr>
            </w:pPr>
            <w:r>
              <w:rPr>
                <w:lang w:val="en-US"/>
              </w:rPr>
              <w:t xml:space="preserve">• </w:t>
            </w:r>
            <w:r>
              <w:rPr>
                <w:lang w:val="en-US"/>
              </w:rPr>
              <w:t>Very often reinforces gender-based discrimination by omission</w:t>
            </w:r>
          </w:p>
          <w:p>
            <w:pPr>
              <w:pStyle w:val="Normal"/>
              <w:spacing w:lineRule="auto" w:line="240" w:before="0" w:after="0"/>
              <w:rPr>
                <w:lang w:val="en-US"/>
              </w:rPr>
            </w:pPr>
            <w:r>
              <w:rPr>
                <w:lang w:val="en-US"/>
              </w:rPr>
              <w:t>•</w:t>
            </w:r>
            <w:r>
              <w:rPr>
                <w:lang w:val="en-US"/>
              </w:rPr>
              <w:t xml:space="preserve">Ignores differences in opportunities and resource allocation for women and men </w:t>
            </w:r>
          </w:p>
          <w:p>
            <w:pPr>
              <w:pStyle w:val="Normal"/>
              <w:spacing w:lineRule="auto" w:line="240" w:before="0" w:after="0"/>
              <w:rPr>
                <w:lang w:val="en-US"/>
              </w:rPr>
            </w:pPr>
            <w:r>
              <w:rPr>
                <w:lang w:val="en-US"/>
              </w:rPr>
              <w:t xml:space="preserve">• </w:t>
            </w:r>
            <w:r>
              <w:rPr>
                <w:lang w:val="en-US"/>
              </w:rPr>
              <w:t>Often constructed based on the principle of being “fair” by treating everyone the same.</w:t>
            </w:r>
          </w:p>
          <w:p>
            <w:pPr>
              <w:pStyle w:val="Normal"/>
              <w:spacing w:lineRule="auto" w:line="240" w:before="0" w:after="0"/>
              <w:rPr>
                <w:lang w:val="en-US"/>
              </w:rPr>
            </w:pPr>
            <w:r>
              <w:rPr>
                <w:lang w:val="en-US"/>
              </w:rPr>
            </w:r>
          </w:p>
        </w:tc>
        <w:tc>
          <w:tcPr>
            <w:tcW w:w="1559" w:type="dxa"/>
            <w:tcBorders/>
            <w:shd w:fill="auto" w:val="clear"/>
          </w:tcPr>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t>0,5 - 1</w:t>
            </w:r>
          </w:p>
          <w:p>
            <w:pPr>
              <w:pStyle w:val="Normal"/>
              <w:spacing w:lineRule="auto" w:line="240" w:before="0" w:after="0"/>
              <w:jc w:val="center"/>
              <w:rPr>
                <w:b/>
                <w:b/>
                <w:lang w:val="en-US"/>
              </w:rPr>
            </w:pPr>
            <w:r>
              <w:rPr>
                <w:b/>
                <w:lang w:val="en-US"/>
              </w:rPr>
            </w:r>
          </w:p>
        </w:tc>
      </w:tr>
      <w:tr>
        <w:trPr/>
        <w:tc>
          <w:tcPr>
            <w:tcW w:w="2093" w:type="dxa"/>
            <w:tcBorders/>
            <w:shd w:fill="auto" w:val="clear"/>
          </w:tcPr>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w:r>
          </w:p>
          <w:p>
            <w:pPr>
              <w:pStyle w:val="Normal"/>
              <w:spacing w:lineRule="auto" w:line="240" w:before="0" w:after="0"/>
              <w:rPr>
                <w:lang w:val="en-US"/>
              </w:rPr>
            </w:pPr>
            <w:r>
              <w:rPr>
                <w:b/>
                <w:lang w:val="en-US"/>
              </w:rPr>
              <w:t>Level 3: Gender-sensitive</w:t>
            </w:r>
            <w:r>
              <w:rPr>
                <w:lang w:val="en-US"/>
              </w:rPr>
              <w:t xml:space="preserve"> </w:t>
            </w:r>
          </w:p>
          <w:p>
            <w:pPr>
              <w:pStyle w:val="Normal"/>
              <w:spacing w:lineRule="auto" w:line="240" w:before="0" w:after="0"/>
              <w:rPr>
                <w:b/>
                <w:b/>
                <w:lang w:val="en-US"/>
              </w:rPr>
            </w:pPr>
            <w:r>
              <w:rPr>
                <w:b/>
                <w:lang w:val="en-US"/>
              </w:rPr>
            </w:r>
          </w:p>
        </w:tc>
        <w:tc>
          <w:tcPr>
            <w:tcW w:w="5812" w:type="dxa"/>
            <w:tcBorders/>
            <w:shd w:fill="auto" w:val="clear"/>
          </w:tcPr>
          <w:p>
            <w:pPr>
              <w:pStyle w:val="Normal"/>
              <w:spacing w:lineRule="auto" w:line="240" w:before="0" w:after="0"/>
              <w:rPr>
                <w:lang w:val="en-US"/>
              </w:rPr>
            </w:pPr>
            <w:r>
              <w:rPr>
                <w:lang w:val="en-US"/>
              </w:rPr>
              <w:t xml:space="preserve">• </w:t>
            </w:r>
            <w:r>
              <w:rPr>
                <w:lang w:val="en-US"/>
              </w:rPr>
              <w:t xml:space="preserve">Considers gender norms, roles and relations </w:t>
            </w:r>
          </w:p>
          <w:p>
            <w:pPr>
              <w:pStyle w:val="Normal"/>
              <w:spacing w:lineRule="auto" w:line="240" w:before="0" w:after="0"/>
              <w:rPr>
                <w:lang w:val="en-US"/>
              </w:rPr>
            </w:pPr>
            <w:r>
              <w:rPr>
                <w:lang w:val="en-US"/>
              </w:rPr>
              <w:t xml:space="preserve">• </w:t>
            </w:r>
            <w:r>
              <w:rPr>
                <w:lang w:val="en-US"/>
              </w:rPr>
              <w:t xml:space="preserve">Has a very individual approach in assessing the needs, aptitudes and capacities. </w:t>
            </w:r>
          </w:p>
          <w:p>
            <w:pPr>
              <w:pStyle w:val="Normal"/>
              <w:spacing w:lineRule="auto" w:line="240" w:before="0" w:after="0"/>
              <w:rPr>
                <w:lang w:val="en-US"/>
              </w:rPr>
            </w:pPr>
            <w:r>
              <w:rPr>
                <w:lang w:val="en-US"/>
              </w:rPr>
              <w:t xml:space="preserve">• </w:t>
            </w:r>
            <w:r>
              <w:rPr>
                <w:lang w:val="en-US"/>
              </w:rPr>
              <w:t xml:space="preserve">Does address to some extent inequality generated by unequal norms, roles or relations </w:t>
            </w:r>
          </w:p>
          <w:p>
            <w:pPr>
              <w:pStyle w:val="Normal"/>
              <w:spacing w:lineRule="auto" w:line="240" w:before="0" w:after="0"/>
              <w:rPr>
                <w:b/>
                <w:b/>
                <w:lang w:val="en-US"/>
              </w:rPr>
            </w:pPr>
            <w:r>
              <w:rPr>
                <w:lang w:val="en-US"/>
              </w:rPr>
              <w:t xml:space="preserve">• </w:t>
            </w:r>
            <w:r>
              <w:rPr>
                <w:lang w:val="en-US"/>
              </w:rPr>
              <w:t xml:space="preserve">Indicates gender awareness, although often no systematic remedial approach is developed </w:t>
            </w:r>
          </w:p>
        </w:tc>
        <w:tc>
          <w:tcPr>
            <w:tcW w:w="1559" w:type="dxa"/>
            <w:tcBorders/>
            <w:shd w:fill="auto" w:val="clear"/>
          </w:tcPr>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t>1 - 2</w:t>
            </w:r>
          </w:p>
        </w:tc>
      </w:tr>
      <w:tr>
        <w:trPr/>
        <w:tc>
          <w:tcPr>
            <w:tcW w:w="2093" w:type="dxa"/>
            <w:tcBorders/>
            <w:shd w:fill="auto" w:val="clear"/>
          </w:tcPr>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w:r>
          </w:p>
          <w:p>
            <w:pPr>
              <w:pStyle w:val="Normal"/>
              <w:spacing w:lineRule="auto" w:line="240" w:before="0" w:after="0"/>
              <w:rPr>
                <w:lang w:val="en-US"/>
              </w:rPr>
            </w:pPr>
            <w:r>
              <w:rPr>
                <w:b/>
                <w:lang w:val="en-US"/>
              </w:rPr>
              <w:t>Level 4: Gender-specific</w:t>
            </w:r>
            <w:r>
              <w:rPr>
                <w:lang w:val="en-US"/>
              </w:rPr>
              <w:t xml:space="preserve"> </w:t>
            </w:r>
          </w:p>
          <w:p>
            <w:pPr>
              <w:pStyle w:val="Normal"/>
              <w:spacing w:lineRule="auto" w:line="240" w:before="0" w:after="0"/>
              <w:rPr>
                <w:b/>
                <w:b/>
                <w:lang w:val="en-US"/>
              </w:rPr>
            </w:pPr>
            <w:r>
              <w:rPr>
                <w:b/>
                <w:lang w:val="en-US"/>
              </w:rPr>
            </w:r>
          </w:p>
        </w:tc>
        <w:tc>
          <w:tcPr>
            <w:tcW w:w="5812" w:type="dxa"/>
            <w:tcBorders/>
            <w:shd w:fill="auto" w:val="clear"/>
          </w:tcPr>
          <w:p>
            <w:pPr>
              <w:pStyle w:val="Normal"/>
              <w:spacing w:lineRule="auto" w:line="240" w:before="0" w:after="0"/>
              <w:rPr>
                <w:lang w:val="en-US"/>
              </w:rPr>
            </w:pPr>
            <w:r>
              <w:rPr>
                <w:lang w:val="en-US"/>
              </w:rPr>
              <w:t xml:space="preserve">• </w:t>
            </w:r>
            <w:r>
              <w:rPr>
                <w:lang w:val="en-US"/>
              </w:rPr>
              <w:t>Considers gender norms, roles and relations for women and men and how they affect access to and control over opportunities</w:t>
            </w:r>
          </w:p>
          <w:p>
            <w:pPr>
              <w:pStyle w:val="Normal"/>
              <w:spacing w:lineRule="auto" w:line="240" w:before="0" w:after="0"/>
              <w:rPr>
                <w:lang w:val="en-US"/>
              </w:rPr>
            </w:pPr>
            <w:r>
              <w:rPr>
                <w:lang w:val="en-US"/>
              </w:rPr>
              <w:t xml:space="preserve"> • </w:t>
            </w:r>
            <w:r>
              <w:rPr>
                <w:lang w:val="en-US"/>
              </w:rPr>
              <w:t xml:space="preserve">Considers female and male specific needs </w:t>
            </w:r>
          </w:p>
          <w:p>
            <w:pPr>
              <w:pStyle w:val="Normal"/>
              <w:spacing w:lineRule="auto" w:line="240" w:before="0" w:after="0"/>
              <w:rPr>
                <w:lang w:val="en-US"/>
              </w:rPr>
            </w:pPr>
            <w:r>
              <w:rPr>
                <w:lang w:val="en-US"/>
              </w:rPr>
              <w:t xml:space="preserve">• </w:t>
            </w:r>
            <w:r>
              <w:rPr>
                <w:lang w:val="en-US"/>
              </w:rPr>
              <w:t xml:space="preserve">Intentionally targets and benefits a specific group of women or men to achieve certain policy or program goals or meet certain needs </w:t>
            </w:r>
          </w:p>
          <w:p>
            <w:pPr>
              <w:pStyle w:val="Normal"/>
              <w:spacing w:lineRule="auto" w:line="240" w:before="0" w:after="0"/>
              <w:rPr>
                <w:lang w:val="en-US"/>
              </w:rPr>
            </w:pPr>
            <w:r>
              <w:rPr>
                <w:lang w:val="en-US"/>
              </w:rPr>
            </w:r>
          </w:p>
        </w:tc>
        <w:tc>
          <w:tcPr>
            <w:tcW w:w="1559" w:type="dxa"/>
            <w:tcBorders/>
            <w:shd w:fill="auto" w:val="clear"/>
          </w:tcPr>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t>2 -3</w:t>
            </w:r>
          </w:p>
        </w:tc>
      </w:tr>
      <w:tr>
        <w:trPr/>
        <w:tc>
          <w:tcPr>
            <w:tcW w:w="2093" w:type="dxa"/>
            <w:tcBorders/>
            <w:shd w:fill="auto" w:val="clear"/>
          </w:tcPr>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w:r>
          </w:p>
          <w:p>
            <w:pPr>
              <w:pStyle w:val="Normal"/>
              <w:spacing w:lineRule="auto" w:line="240" w:before="0" w:after="0"/>
              <w:rPr>
                <w:lang w:val="en-US"/>
              </w:rPr>
            </w:pPr>
            <w:r>
              <w:rPr>
                <w:b/>
                <w:lang w:val="en-US"/>
              </w:rPr>
              <w:t>Level 5: Gender-transformative</w:t>
            </w:r>
            <w:r>
              <w:rPr>
                <w:lang w:val="en-US"/>
              </w:rPr>
              <w:t xml:space="preserve"> </w:t>
            </w:r>
          </w:p>
          <w:p>
            <w:pPr>
              <w:pStyle w:val="Normal"/>
              <w:spacing w:lineRule="auto" w:line="240" w:before="0" w:after="0"/>
              <w:rPr>
                <w:b/>
                <w:b/>
                <w:lang w:val="en-US"/>
              </w:rPr>
            </w:pPr>
            <w:r>
              <w:rPr>
                <w:b/>
                <w:lang w:val="en-US"/>
              </w:rPr>
            </w:r>
          </w:p>
        </w:tc>
        <w:tc>
          <w:tcPr>
            <w:tcW w:w="5812" w:type="dxa"/>
            <w:tcBorders/>
            <w:shd w:fill="auto" w:val="clear"/>
          </w:tcPr>
          <w:p>
            <w:pPr>
              <w:pStyle w:val="Normal"/>
              <w:spacing w:lineRule="auto" w:line="240" w:before="0" w:after="0"/>
              <w:rPr>
                <w:lang w:val="en-US"/>
              </w:rPr>
            </w:pPr>
            <w:r>
              <w:rPr>
                <w:lang w:val="en-US"/>
              </w:rPr>
              <w:t xml:space="preserve">• </w:t>
            </w:r>
            <w:r>
              <w:rPr>
                <w:lang w:val="en-US"/>
              </w:rPr>
              <w:t>Considers gender norms, roles and relations for women and men and that these affect access to and control over resources and opportunities</w:t>
            </w:r>
          </w:p>
          <w:p>
            <w:pPr>
              <w:pStyle w:val="Normal"/>
              <w:spacing w:lineRule="auto" w:line="240" w:before="0" w:after="0"/>
              <w:rPr>
                <w:lang w:val="en-US"/>
              </w:rPr>
            </w:pPr>
            <w:r>
              <w:rPr>
                <w:lang w:val="en-US"/>
              </w:rPr>
              <w:t xml:space="preserve">• </w:t>
            </w:r>
            <w:r>
              <w:rPr>
                <w:lang w:val="en-US"/>
              </w:rPr>
              <w:t xml:space="preserve">Considers women’s and men’s specific needs </w:t>
            </w:r>
          </w:p>
          <w:p>
            <w:pPr>
              <w:pStyle w:val="Normal"/>
              <w:spacing w:lineRule="auto" w:line="240" w:before="0" w:after="0"/>
              <w:rPr>
                <w:lang w:val="en-US"/>
              </w:rPr>
            </w:pPr>
            <w:r>
              <w:rPr>
                <w:lang w:val="en-US"/>
              </w:rPr>
              <w:t xml:space="preserve">• </w:t>
            </w:r>
            <w:r>
              <w:rPr>
                <w:lang w:val="en-US"/>
              </w:rPr>
              <w:t xml:space="preserve">Addresses the causes of gender-based health inequities </w:t>
            </w:r>
          </w:p>
          <w:p>
            <w:pPr>
              <w:pStyle w:val="Normal"/>
              <w:spacing w:lineRule="auto" w:line="240" w:before="0" w:after="0"/>
              <w:rPr>
                <w:lang w:val="en-US"/>
              </w:rPr>
            </w:pPr>
            <w:r>
              <w:rPr>
                <w:lang w:val="en-US"/>
              </w:rPr>
              <w:t xml:space="preserve">• </w:t>
            </w:r>
            <w:r>
              <w:rPr>
                <w:lang w:val="en-US"/>
              </w:rPr>
              <w:t xml:space="preserve">Includes ways to transform harmful gender norms, roles and relations in a consistent and systematic </w:t>
            </w:r>
          </w:p>
          <w:p>
            <w:pPr>
              <w:pStyle w:val="Normal"/>
              <w:spacing w:lineRule="auto" w:line="240" w:before="0" w:after="0"/>
              <w:rPr>
                <w:lang w:val="en-US"/>
              </w:rPr>
            </w:pPr>
            <w:r>
              <w:rPr>
                <w:lang w:val="en-US"/>
              </w:rPr>
              <w:t xml:space="preserve">• </w:t>
            </w:r>
            <w:r>
              <w:rPr>
                <w:lang w:val="en-US"/>
              </w:rPr>
              <w:t>Has a clear objective is often to promote gender equality.</w:t>
            </w:r>
          </w:p>
          <w:p>
            <w:pPr>
              <w:pStyle w:val="Normal"/>
              <w:spacing w:lineRule="auto" w:line="240" w:before="0" w:after="0"/>
              <w:rPr>
                <w:b/>
                <w:b/>
                <w:lang w:val="en-US"/>
              </w:rPr>
            </w:pPr>
            <w:r>
              <w:rPr>
                <w:b/>
                <w:lang w:val="en-US"/>
              </w:rPr>
            </w:r>
          </w:p>
        </w:tc>
        <w:tc>
          <w:tcPr>
            <w:tcW w:w="1559" w:type="dxa"/>
            <w:tcBorders/>
            <w:shd w:fill="auto" w:val="clear"/>
          </w:tcPr>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r>
          </w:p>
          <w:p>
            <w:pPr>
              <w:pStyle w:val="Normal"/>
              <w:spacing w:lineRule="auto" w:line="240" w:before="0" w:after="0"/>
              <w:jc w:val="center"/>
              <w:rPr>
                <w:b/>
                <w:b/>
                <w:lang w:val="en-US"/>
              </w:rPr>
            </w:pPr>
            <w:r>
              <w:rPr>
                <w:b/>
                <w:lang w:val="en-US"/>
              </w:rPr>
              <w:t xml:space="preserve">3-4 </w:t>
            </w:r>
          </w:p>
        </w:tc>
      </w:tr>
    </w:tbl>
    <w:p>
      <w:pPr>
        <w:pStyle w:val="Normal"/>
        <w:spacing w:lineRule="auto" w:line="240" w:before="0" w:after="0"/>
        <w:rPr>
          <w:b/>
          <w:b/>
          <w:lang w:val="en-US"/>
        </w:rPr>
      </w:pPr>
      <w:r>
        <w:rPr>
          <w:b/>
          <w:lang w:val="en-US"/>
        </w:rPr>
      </w:r>
    </w:p>
    <w:p>
      <w:pPr>
        <w:pStyle w:val="Normal"/>
        <w:spacing w:lineRule="auto" w:line="240" w:before="0" w:after="0"/>
        <w:jc w:val="both"/>
        <w:rPr>
          <w:b/>
          <w:b/>
          <w:lang w:val="en-US"/>
        </w:rPr>
      </w:pPr>
      <w:r>
        <w:rPr>
          <w:b/>
          <w:lang w:val="en-US"/>
        </w:rPr>
        <w:t xml:space="preserve">This report will base its assessment by comparing the gap between gender relevancy and gender mainstreaming score.  </w:t>
      </w:r>
      <w:r>
        <w:rPr>
          <w:lang w:val="en-US"/>
        </w:rPr>
        <w:t xml:space="preserve">A scoring for each lesson in each manual for every grade will be calculated based on the above described criteria and a gap will be calculated. In the context of this assessment, a gap between relevancy and gender mainstreaming score of more than 1 (one) point should be addressed by the team. The figures presented below, indicate the core approach in evaluating gender equality of VOCG materials. </w:t>
      </w:r>
    </w:p>
    <w:p>
      <w:pPr>
        <w:pStyle w:val="Normal"/>
        <w:spacing w:lineRule="auto" w:line="240" w:before="0" w:after="0"/>
        <w:jc w:val="both"/>
        <w:rPr>
          <w:b/>
          <w:b/>
          <w:lang w:val="en-US"/>
        </w:rPr>
      </w:pPr>
      <w:r>
        <w:rPr>
          <w:b/>
          <w:lang w:val="en-US"/>
        </w:rPr>
        <w:drawing>
          <wp:inline distT="0" distB="0" distL="0" distR="0">
            <wp:extent cx="2466975" cy="248856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mc:AlternateContent>
          <mc:Choice Requires="wps">
            <w:drawing>
              <wp:anchor behindDoc="0" distT="0" distB="0" distL="114300" distR="114300" simplePos="0" locked="0" layoutInCell="1" allowOverlap="1" relativeHeight="6">
                <wp:simplePos x="0" y="0"/>
                <wp:positionH relativeFrom="column">
                  <wp:posOffset>1000760</wp:posOffset>
                </wp:positionH>
                <wp:positionV relativeFrom="paragraph">
                  <wp:posOffset>21590</wp:posOffset>
                </wp:positionV>
                <wp:extent cx="1327785" cy="461010"/>
                <wp:effectExtent l="0" t="0" r="0" b="0"/>
                <wp:wrapNone/>
                <wp:docPr id="3" name=""/>
                <a:graphic xmlns:a="http://schemas.openxmlformats.org/drawingml/2006/main">
                  <a:graphicData uri="http://schemas.microsoft.com/office/word/2010/wordprocessingShape">
                    <wps:wsp>
                      <wps:cNvSpPr txBox="1"/>
                      <wps:spPr>
                        <a:xfrm>
                          <a:off x="0" y="0"/>
                          <a:ext cx="1327785" cy="461010"/>
                        </a:xfrm>
                        <a:prstGeom prst="rect"/>
                        <a:solidFill>
                          <a:srgbClr val="FFFFFF"/>
                        </a:solidFill>
                        <a:ln w="635">
                          <a:solidFill>
                            <a:srgbClr val="000000"/>
                          </a:solidFill>
                        </a:ln>
                      </wps:spPr>
                      <wps:txbx>
                        <w:txbxContent>
                          <w:p>
                            <w:pPr>
                              <w:pStyle w:val="FrameContents"/>
                              <w:spacing w:before="0" w:after="200"/>
                              <w:rPr/>
                            </w:pPr>
                            <w:r>
                              <w:rPr>
                                <w:sz w:val="20"/>
                                <w:szCs w:val="20"/>
                                <w:lang w:val="en-US"/>
                              </w:rPr>
                              <w:t xml:space="preserve">Good level of gender mainstreaming </w:t>
                            </w:r>
                          </w:p>
                        </w:txbxContent>
                      </wps:txbx>
                      <wps:bodyPr anchor="t" lIns="91440" tIns="45720" rIns="91440" bIns="45720">
                        <a:noAutofit/>
                      </wps:bodyPr>
                    </wps:wsp>
                  </a:graphicData>
                </a:graphic>
              </wp:anchor>
            </w:drawing>
          </mc:Choice>
          <mc:Fallback>
            <w:pict>
              <v:rect fillcolor="#FFFFFF" strokecolor="#000000" strokeweight="0pt" style="position:absolute;rotation:0;width:104.55pt;height:36.3pt;mso-wrap-distance-left:9pt;mso-wrap-distance-right:9pt;mso-wrap-distance-top:0pt;mso-wrap-distance-bottom:0pt;margin-top:1.7pt;mso-position-vertical-relative:text;margin-left:78.8pt;mso-position-horizontal-relative:text">
                <v:textbox>
                  <w:txbxContent>
                    <w:p>
                      <w:pPr>
                        <w:pStyle w:val="FrameContents"/>
                        <w:spacing w:before="0" w:after="200"/>
                        <w:rPr/>
                      </w:pPr>
                      <w:r>
                        <w:rPr>
                          <w:sz w:val="20"/>
                          <w:szCs w:val="20"/>
                          <w:lang w:val="en-US"/>
                        </w:rPr>
                        <w:t xml:space="preserve">Good level of gender mainstreaming </w:t>
                      </w:r>
                    </w:p>
                  </w:txbxContent>
                </v:textbox>
              </v:rect>
            </w:pict>
          </mc:Fallback>
        </mc:AlternateContent>
      </w:r>
      <w:r>
        <mc:AlternateContent>
          <mc:Choice Requires="wps">
            <w:drawing>
              <wp:anchor behindDoc="0" distT="0" distB="0" distL="114300" distR="114300" simplePos="0" locked="0" layoutInCell="1" allowOverlap="1" relativeHeight="9">
                <wp:simplePos x="0" y="0"/>
                <wp:positionH relativeFrom="column">
                  <wp:posOffset>4713605</wp:posOffset>
                </wp:positionH>
                <wp:positionV relativeFrom="paragraph">
                  <wp:posOffset>21590</wp:posOffset>
                </wp:positionV>
                <wp:extent cx="1097280" cy="683895"/>
                <wp:effectExtent l="0" t="0" r="0" b="0"/>
                <wp:wrapNone/>
                <wp:docPr id="4" name=""/>
                <a:graphic xmlns:a="http://schemas.openxmlformats.org/drawingml/2006/main">
                  <a:graphicData uri="http://schemas.microsoft.com/office/word/2010/wordprocessingShape">
                    <wps:wsp>
                      <wps:cNvSpPr txBox="1"/>
                      <wps:spPr>
                        <a:xfrm>
                          <a:off x="0" y="0"/>
                          <a:ext cx="1097280" cy="683895"/>
                        </a:xfrm>
                        <a:prstGeom prst="rect"/>
                        <a:solidFill>
                          <a:srgbClr val="FFFFFF"/>
                        </a:solidFill>
                        <a:ln w="635">
                          <a:solidFill>
                            <a:srgbClr val="000000"/>
                          </a:solidFill>
                        </a:ln>
                      </wps:spPr>
                      <wps:txbx>
                        <w:txbxContent>
                          <w:p>
                            <w:pPr>
                              <w:pStyle w:val="FrameContents"/>
                              <w:spacing w:before="0" w:after="200"/>
                              <w:rPr/>
                            </w:pPr>
                            <w:r>
                              <w:rPr>
                                <w:sz w:val="20"/>
                                <w:szCs w:val="20"/>
                                <w:lang w:val="en-US"/>
                              </w:rPr>
                              <w:t>Low level of gender mainstreaming</w:t>
                            </w:r>
                          </w:p>
                        </w:txbxContent>
                      </wps:txbx>
                      <wps:bodyPr anchor="t" lIns="91440" tIns="45720" rIns="91440" bIns="45720">
                        <a:noAutofit/>
                      </wps:bodyPr>
                    </wps:wsp>
                  </a:graphicData>
                </a:graphic>
              </wp:anchor>
            </w:drawing>
          </mc:Choice>
          <mc:Fallback>
            <w:pict>
              <v:rect fillcolor="#FFFFFF" strokecolor="#000000" strokeweight="0pt" style="position:absolute;rotation:0;width:86.4pt;height:53.85pt;mso-wrap-distance-left:9pt;mso-wrap-distance-right:9pt;mso-wrap-distance-top:0pt;mso-wrap-distance-bottom:0pt;margin-top:1.7pt;mso-position-vertical-relative:text;margin-left:371.15pt;mso-position-horizontal-relative:text">
                <v:textbox>
                  <w:txbxContent>
                    <w:p>
                      <w:pPr>
                        <w:pStyle w:val="FrameContents"/>
                        <w:spacing w:before="0" w:after="200"/>
                        <w:rPr/>
                      </w:pPr>
                      <w:r>
                        <w:rPr>
                          <w:sz w:val="20"/>
                          <w:szCs w:val="20"/>
                          <w:lang w:val="en-US"/>
                        </w:rPr>
                        <w:t>Low level of gender mainstreaming</w:t>
                      </w:r>
                    </w:p>
                  </w:txbxContent>
                </v:textbox>
              </v:rect>
            </w:pict>
          </mc:Fallback>
        </mc:AlternateContent>
      </w:r>
    </w:p>
    <w:p>
      <w:pPr>
        <w:pStyle w:val="Normal"/>
        <w:spacing w:lineRule="auto" w:line="240" w:before="0" w:after="0"/>
        <w:jc w:val="both"/>
        <w:rPr>
          <w:lang w:val="en-US"/>
        </w:rPr>
      </w:pPr>
      <w:r>
        <w:rPr>
          <w:lang w:val="en-US"/>
        </w:rPr>
        <w:drawing>
          <wp:inline distT="0" distB="0" distL="0" distR="0">
            <wp:extent cx="2313305" cy="244856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mc:AlternateContent>
          <mc:Choice Requires="wps">
            <w:drawing>
              <wp:anchor behindDoc="0" distT="0" distB="0" distL="114300" distR="114300" simplePos="0" locked="0" layoutInCell="1" allowOverlap="1" relativeHeight="5">
                <wp:simplePos x="0" y="0"/>
                <wp:positionH relativeFrom="column">
                  <wp:posOffset>1254125</wp:posOffset>
                </wp:positionH>
                <wp:positionV relativeFrom="paragraph">
                  <wp:posOffset>26670</wp:posOffset>
                </wp:positionV>
                <wp:extent cx="255270" cy="239395"/>
                <wp:effectExtent l="0" t="0" r="0" b="0"/>
                <wp:wrapNone/>
                <wp:docPr id="6" name=""/>
                <a:graphic xmlns:a="http://schemas.openxmlformats.org/drawingml/2006/main">
                  <a:graphicData uri="http://schemas.microsoft.com/office/word/2010/wordprocessingShape">
                    <wps:wsp>
                      <wps:cNvSpPr/>
                      <wps:spPr>
                        <a:xfrm flipH="1">
                          <a:off x="0" y="0"/>
                          <a:ext cx="254520" cy="2386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98.75pt;margin-top:2.1pt;width:20pt;height:18.75pt;flip:x"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
                <wp:simplePos x="0" y="0"/>
                <wp:positionH relativeFrom="column">
                  <wp:posOffset>4554855</wp:posOffset>
                </wp:positionH>
                <wp:positionV relativeFrom="paragraph">
                  <wp:posOffset>90805</wp:posOffset>
                </wp:positionV>
                <wp:extent cx="581025" cy="175260"/>
                <wp:effectExtent l="0" t="0" r="0" b="0"/>
                <wp:wrapNone/>
                <wp:docPr id="7" name=""/>
                <a:graphic xmlns:a="http://schemas.openxmlformats.org/drawingml/2006/main">
                  <a:graphicData uri="http://schemas.microsoft.com/office/word/2010/wordprocessingShape">
                    <wps:wsp>
                      <wps:cNvSpPr/>
                      <wps:spPr>
                        <a:xfrm flipH="1">
                          <a:off x="0" y="0"/>
                          <a:ext cx="580320" cy="174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58.65pt;margin-top:7.15pt;width:45.65pt;height:13.7pt;flip:x" type="shapetype_32">
                <w10:wrap type="none"/>
                <v:fill o:detectmouseclick="t" on="false"/>
                <v:stroke color="black" endarrow="block" endarrowwidth="medium" endarrowlength="medium" joinstyle="round" endcap="flat"/>
              </v:shape>
            </w:pict>
          </mc:Fallback>
        </mc:AlternateContent>
      </w:r>
    </w:p>
    <w:p>
      <w:pPr>
        <w:pStyle w:val="Normal"/>
        <w:spacing w:lineRule="auto" w:line="240" w:before="0" w:after="0"/>
        <w:rPr>
          <w:b/>
          <w:b/>
          <w:lang w:val="en-US"/>
        </w:rPr>
      </w:pPr>
      <w:r>
        <w:rPr>
          <w:b/>
          <w:lang w:val="en-US"/>
        </w:rPr>
      </w:r>
    </w:p>
    <w:p>
      <w:pPr>
        <w:pStyle w:val="Normal"/>
        <w:spacing w:lineRule="auto" w:line="240" w:before="0" w:after="0"/>
        <w:rPr>
          <w:b/>
          <w:b/>
          <w:lang w:val="en-US"/>
        </w:rPr>
      </w:pPr>
      <w:r>
        <w:rPr>
          <w:b/>
          <w:lang w:val="en-US"/>
        </w:rPr>
        <mc:AlternateContent>
          <mc:Choice Requires="wps">
            <w:drawing>
              <wp:anchor behindDoc="0" distT="0" distB="0" distL="114300" distR="114300" simplePos="0" locked="0" layoutInCell="1" allowOverlap="1" relativeHeight="7">
                <wp:simplePos x="0" y="0"/>
                <wp:positionH relativeFrom="column">
                  <wp:posOffset>5349875</wp:posOffset>
                </wp:positionH>
                <wp:positionV relativeFrom="paragraph">
                  <wp:posOffset>59690</wp:posOffset>
                </wp:positionV>
                <wp:extent cx="24765" cy="541020"/>
                <wp:effectExtent l="0" t="0" r="0" b="0"/>
                <wp:wrapNone/>
                <wp:docPr id="8" name=""/>
                <a:graphic xmlns:a="http://schemas.openxmlformats.org/drawingml/2006/main">
                  <a:graphicData uri="http://schemas.microsoft.com/office/word/2010/wordprocessingShape">
                    <wps:wsp>
                      <wps:cNvSpPr/>
                      <wps:spPr>
                        <a:xfrm>
                          <a:off x="0" y="0"/>
                          <a:ext cx="24120" cy="540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421.25pt;margin-top:4.7pt;width:1.85pt;height:42.5pt" type="shapetype_32">
                <w10:wrap type="none"/>
                <v:fill o:detectmouseclick="t" on="false"/>
                <v:stroke color="black" endarrow="block" endarrowwidth="medium" endarrowlength="medium" joinstyle="round" endcap="flat"/>
              </v:shape>
            </w:pict>
          </mc:Fallback>
        </mc:AlternateContent>
      </w:r>
    </w:p>
    <w:p>
      <w:pPr>
        <w:pStyle w:val="Normal"/>
        <w:spacing w:lineRule="auto" w:line="240" w:before="0" w:after="0"/>
        <w:jc w:val="both"/>
        <w:rPr>
          <w:b/>
          <w:b/>
          <w:lang w:val="en-US"/>
        </w:rPr>
      </w:pPr>
      <w:r>
        <w:rPr>
          <w:b/>
          <w:lang w:val="en-US"/>
        </w:rPr>
      </w:r>
    </w:p>
    <w:p>
      <w:pPr>
        <w:pStyle w:val="Normal"/>
        <w:spacing w:lineRule="auto" w:line="240" w:before="0" w:after="0"/>
        <w:jc w:val="both"/>
        <w:rPr>
          <w:b/>
          <w:b/>
          <w:lang w:val="en-US"/>
        </w:rPr>
      </w:pPr>
      <w:r>
        <w:rPr>
          <w:b/>
          <w:lang w:val="en-US"/>
        </w:rPr>
      </w:r>
    </w:p>
    <w:p>
      <w:pPr>
        <w:pStyle w:val="Normal"/>
        <w:spacing w:lineRule="auto" w:line="240" w:before="0" w:after="0"/>
        <w:jc w:val="both"/>
        <w:rPr>
          <w:b/>
          <w:b/>
          <w:lang w:val="en-US"/>
        </w:rPr>
      </w:pPr>
      <w:r>
        <w:rPr>
          <w:b/>
          <w:lang w:val="en-US"/>
        </w:rPr>
      </w:r>
    </w:p>
    <w:p>
      <w:pPr>
        <w:pStyle w:val="Normal"/>
        <w:spacing w:lineRule="auto" w:line="240" w:before="0" w:after="0"/>
        <w:jc w:val="both"/>
        <w:rPr>
          <w:b/>
          <w:b/>
          <w:lang w:val="en-US"/>
        </w:rPr>
      </w:pPr>
      <w:r>
        <w:rPr>
          <w:b/>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Heading1"/>
        <w:rPr>
          <w:rFonts w:ascii="Calibri" w:hAnsi="Calibri" w:cs="Calibri" w:asciiTheme="minorHAnsi" w:cstheme="minorHAnsi" w:hAnsiTheme="minorHAnsi"/>
          <w:sz w:val="32"/>
          <w:szCs w:val="32"/>
          <w:lang w:val="en-US"/>
        </w:rPr>
      </w:pPr>
      <w:bookmarkStart w:id="11" w:name="_Toc495387898"/>
      <w:r>
        <w:rPr>
          <w:rFonts w:cs="Calibri" w:ascii="Calibri" w:hAnsi="Calibri" w:asciiTheme="minorHAnsi" w:cstheme="minorHAnsi" w:hAnsiTheme="minorHAnsi"/>
          <w:sz w:val="32"/>
          <w:szCs w:val="32"/>
          <w:lang w:val="en-US"/>
        </w:rPr>
        <w:t>III. ASSESSING GENDER INEQUALITIES RELEVANT TO VOCATIONAL ORIENTATION AND CAREER COUNSELLING IN SCHOOLS</w:t>
      </w:r>
      <w:bookmarkEnd w:id="11"/>
    </w:p>
    <w:p>
      <w:pPr>
        <w:pStyle w:val="Normal"/>
        <w:spacing w:lineRule="auto" w:line="240" w:before="0" w:after="0"/>
        <w:rPr>
          <w:color w:val="1F497D" w:themeColor="text2"/>
          <w:lang w:val="en-US"/>
        </w:rPr>
      </w:pPr>
      <w:r>
        <w:rPr>
          <w:color w:val="1F497D" w:themeColor="text2"/>
          <w:lang w:val="en-US"/>
        </w:rPr>
      </w:r>
    </w:p>
    <w:p>
      <w:pPr>
        <w:pStyle w:val="Heading2"/>
        <w:spacing w:lineRule="auto" w:line="240" w:before="0" w:after="200"/>
        <w:rPr>
          <w:rFonts w:ascii="Calibri" w:hAnsi="Calibri" w:cs="Calibri" w:asciiTheme="minorHAnsi" w:cstheme="minorHAnsi" w:hAnsiTheme="minorHAnsi"/>
          <w:i/>
          <w:i/>
          <w:lang w:val="en-US"/>
        </w:rPr>
      </w:pPr>
      <w:bookmarkStart w:id="12" w:name="_Toc495387899"/>
      <w:r>
        <w:rPr>
          <w:rFonts w:cs="Calibri" w:ascii="Calibri" w:hAnsi="Calibri" w:asciiTheme="minorHAnsi" w:cstheme="minorHAnsi" w:hAnsiTheme="minorHAnsi"/>
          <w:i/>
          <w:lang w:val="en-US"/>
        </w:rPr>
        <w:t>3.1. Academic performance</w:t>
      </w:r>
      <w:bookmarkEnd w:id="12"/>
      <w:r>
        <w:rPr>
          <w:rFonts w:cs="Calibri" w:ascii="Calibri" w:hAnsi="Calibri" w:asciiTheme="minorHAnsi" w:cstheme="minorHAnsi" w:hAnsiTheme="minorHAnsi"/>
          <w:i/>
          <w:lang w:val="en-US"/>
        </w:rPr>
        <w:t xml:space="preserve"> </w:t>
      </w:r>
    </w:p>
    <w:p>
      <w:pPr>
        <w:pStyle w:val="Normal"/>
        <w:spacing w:lineRule="auto" w:line="240" w:before="0" w:after="0"/>
        <w:jc w:val="both"/>
        <w:rPr>
          <w:b/>
          <w:b/>
          <w:lang w:val="en-US"/>
        </w:rPr>
      </w:pPr>
      <w:r>
        <w:rPr>
          <w:b/>
          <w:lang w:val="en-US"/>
        </w:rPr>
      </w:r>
    </w:p>
    <w:p>
      <w:pPr>
        <w:pStyle w:val="Normal"/>
        <w:spacing w:lineRule="auto" w:line="240" w:before="0" w:after="0"/>
        <w:jc w:val="both"/>
        <w:rPr>
          <w:lang w:val="en-US"/>
        </w:rPr>
      </w:pPr>
      <w:r>
        <w:rPr>
          <w:b/>
          <w:lang w:val="en-US"/>
        </w:rPr>
        <w:t xml:space="preserve">Overall, girls register more academic performance compared to boys. </w:t>
      </w:r>
      <w:r>
        <w:rPr>
          <w:lang w:val="en-US"/>
        </w:rPr>
        <w:t xml:space="preserve">Girls tend to have on average better test scores on all key subjects from reading to mathematics and sciences. This is confirmed both by the national assessment among students of the ninth grade (see figure 1) and by OECD PISA score. In the 2015 PISA assessment, the average score for girls was 431 and the score for boys was 425, in 2009 PISA assessment the gender gaps score was more significant. </w:t>
      </w:r>
    </w:p>
    <w:p>
      <w:pPr>
        <w:pStyle w:val="Normal"/>
        <w:spacing w:lineRule="auto" w:line="240" w:before="0" w:after="0"/>
        <w:rPr>
          <w:b/>
          <w:b/>
          <w:lang w:val="en-US"/>
        </w:rPr>
      </w:pPr>
      <w:r>
        <w:rPr>
          <w:b/>
          <w:lang w:val="en-US"/>
        </w:rPr>
        <w:drawing>
          <wp:inline distT="0" distB="0" distL="0" distR="0">
            <wp:extent cx="3563620" cy="2027555"/>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240" w:before="0" w:after="0"/>
        <w:rPr>
          <w:b/>
          <w:b/>
          <w:lang w:val="en-US"/>
        </w:rPr>
      </w:pPr>
      <w:r>
        <w:rPr>
          <w:b/>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i/>
          <w:i/>
          <w:color w:val="1F497D" w:themeColor="text2"/>
          <w:sz w:val="20"/>
          <w:szCs w:val="20"/>
          <w:lang w:val="en-US"/>
        </w:rPr>
      </w:pPr>
      <w:r>
        <w:rPr>
          <w:i/>
          <w:color w:val="1F497D" w:themeColor="text2"/>
          <w:sz w:val="20"/>
          <w:szCs w:val="20"/>
          <w:lang w:val="en-US"/>
        </w:rPr>
        <w:t>Figure 1: Average score for boys and girls of the ninth grade</w:t>
      </w:r>
    </w:p>
    <w:p>
      <w:pPr>
        <w:pStyle w:val="Normal"/>
        <w:spacing w:lineRule="auto" w:line="240" w:before="0" w:after="0"/>
        <w:rPr>
          <w:i/>
          <w:i/>
          <w:color w:val="1F497D" w:themeColor="text2"/>
          <w:sz w:val="20"/>
          <w:szCs w:val="20"/>
          <w:lang w:val="en-US"/>
        </w:rPr>
      </w:pPr>
      <w:r>
        <w:rPr>
          <w:i/>
          <w:color w:val="1F497D" w:themeColor="text2"/>
          <w:sz w:val="20"/>
          <w:szCs w:val="20"/>
          <w:lang w:val="en-US"/>
        </w:rPr>
        <w:t>Source: Ministry of Education, Culture and Research</w:t>
      </w:r>
    </w:p>
    <w:p>
      <w:pPr>
        <w:pStyle w:val="Normal"/>
        <w:spacing w:lineRule="auto" w:line="240" w:before="0" w:after="0"/>
        <w:rPr>
          <w:color w:val="1F497D" w:themeColor="text2"/>
          <w:lang w:val="en-US"/>
        </w:rPr>
      </w:pPr>
      <w:r>
        <w:rPr>
          <w:color w:val="1F497D" w:themeColor="text2"/>
          <w:lang w:val="en-US"/>
        </w:rPr>
      </w:r>
    </w:p>
    <w:p>
      <w:pPr>
        <w:pStyle w:val="Normal"/>
        <w:spacing w:lineRule="auto" w:line="240" w:before="0" w:after="0"/>
        <w:jc w:val="both"/>
        <w:rPr>
          <w:b/>
          <w:b/>
          <w:lang w:val="en-US"/>
        </w:rPr>
      </w:pPr>
      <w:r>
        <w:rPr>
          <w:b/>
          <w:lang w:val="en-US"/>
        </w:rPr>
        <w:t xml:space="preserve">It appears that gender gaps in academic testing are increasing with the age. </w:t>
      </w:r>
      <w:r>
        <w:rPr>
          <w:lang w:val="en-US"/>
        </w:rPr>
        <w:t xml:space="preserve">Gender gaps the ninth grade are greater compared to the gender gaps in the fourth grade (in both cases girls have a better average performance). This indicates that a certain </w:t>
      </w:r>
      <w:r>
        <w:rPr>
          <w:i/>
          <w:lang w:val="en-US"/>
        </w:rPr>
        <w:t xml:space="preserve">gender socialization </w:t>
      </w:r>
      <w:r>
        <w:rPr>
          <w:lang w:val="en-US"/>
        </w:rPr>
        <w:t xml:space="preserve">in school whereby gender differences become more significant. This speaks to the fact that the way materials are thought are gender relevant and thus have an impact in the way boys and girls learn at school. </w:t>
      </w:r>
    </w:p>
    <w:p>
      <w:pPr>
        <w:pStyle w:val="Normal"/>
        <w:spacing w:lineRule="auto" w:line="240" w:before="0" w:after="0"/>
        <w:rPr>
          <w:b/>
          <w:b/>
          <w:lang w:val="en-US"/>
        </w:rPr>
      </w:pPr>
      <w:r>
        <w:rPr>
          <w:b/>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drawing>
          <wp:inline distT="0" distB="0" distL="0" distR="0">
            <wp:extent cx="3517265" cy="217106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Normal"/>
        <w:spacing w:lineRule="auto" w:line="240" w:before="0" w:after="0"/>
        <w:rPr>
          <w:i/>
          <w:i/>
          <w:color w:val="1F497D" w:themeColor="text2"/>
          <w:sz w:val="20"/>
          <w:szCs w:val="20"/>
          <w:lang w:val="en-US"/>
        </w:rPr>
      </w:pPr>
      <w:r>
        <w:rPr>
          <w:i/>
          <w:color w:val="1F497D" w:themeColor="text2"/>
          <w:sz w:val="20"/>
          <w:szCs w:val="20"/>
          <w:lang w:val="en-US"/>
        </w:rPr>
        <w:t>Figure 2: Gender gaps in test score for the ninth and fourth grades</w:t>
      </w:r>
    </w:p>
    <w:p>
      <w:pPr>
        <w:pStyle w:val="Normal"/>
        <w:spacing w:lineRule="auto" w:line="240" w:before="0" w:after="0"/>
        <w:rPr>
          <w:i/>
          <w:i/>
          <w:color w:val="1F497D" w:themeColor="text2"/>
          <w:sz w:val="20"/>
          <w:szCs w:val="20"/>
          <w:lang w:val="en-US"/>
        </w:rPr>
      </w:pPr>
      <w:r>
        <w:rPr>
          <w:i/>
          <w:color w:val="1F497D" w:themeColor="text2"/>
          <w:sz w:val="20"/>
          <w:szCs w:val="20"/>
          <w:lang w:val="en-US"/>
        </w:rPr>
        <w:t>Source: Ministry of Education, Culture and Research</w:t>
      </w:r>
    </w:p>
    <w:p>
      <w:pPr>
        <w:pStyle w:val="Normal"/>
        <w:spacing w:lineRule="auto" w:line="240" w:before="0" w:after="0"/>
        <w:rPr>
          <w:color w:val="1F497D" w:themeColor="text2"/>
          <w:lang w:val="en-US"/>
        </w:rPr>
      </w:pPr>
      <w:r>
        <w:rPr>
          <w:color w:val="1F497D" w:themeColor="text2"/>
          <w:lang w:val="en-US"/>
        </w:rPr>
      </w:r>
    </w:p>
    <w:p>
      <w:pPr>
        <w:pStyle w:val="Normal"/>
        <w:spacing w:lineRule="auto" w:line="240" w:before="0" w:after="0"/>
        <w:jc w:val="both"/>
        <w:rPr>
          <w:lang w:val="en-US"/>
        </w:rPr>
      </w:pPr>
      <w:r>
        <w:rPr>
          <w:b/>
          <w:lang w:val="en-US"/>
        </w:rPr>
        <w:t xml:space="preserve">Girls spend more time studying as compared to the boys. </w:t>
      </w:r>
      <w:r>
        <w:rPr>
          <w:lang w:val="en-US"/>
        </w:rPr>
        <w:t>A significant part of the gender gap in academic performance can be explained by the fact that girls spend more time studying – a behavioral trait that can be traced to traditional gender roles. According to an assessment from Ministry of Education, 35% of the girls in the ninth grade spend more than 2 hours per day studying, compared to 13% of boys from the same grade. The same assessment showed that 31% of boys never read compared to 10,2 % of girls and about 32,8% of girls spend 1-2 hours every day reading compared to 14,7% of boys. Interestingly, in the fourth grade both girls and boys report to enjoy reading (80, 8% of girls and 61,3% report to enjoy reading) in the ninth grade the share of boys reporting to enjoy reading is reduced to 37,6% while the share of girls reporting to enjoy reading remains unchanged. This finding is relevant since</w:t>
      </w:r>
      <w:r>
        <w:rPr>
          <w:rFonts w:cs="Calibri" w:cstheme="minorHAnsi"/>
          <w:lang w:val="en-US"/>
        </w:rPr>
        <w:t xml:space="preserve"> a significant part of </w:t>
      </w:r>
      <w:r>
        <w:rPr>
          <w:rFonts w:cs="Calibri" w:cstheme="minorHAnsi"/>
          <w:bCs/>
          <w:lang w:val="en-US"/>
        </w:rPr>
        <w:t xml:space="preserve">Vocational Orientation and Career Counseling modules relies on individual follow up and study. </w:t>
      </w:r>
    </w:p>
    <w:p>
      <w:pPr>
        <w:pStyle w:val="Normal"/>
        <w:spacing w:lineRule="auto" w:line="240" w:before="0" w:after="0"/>
        <w:jc w:val="both"/>
        <w:rPr>
          <w:lang w:val="en-US"/>
        </w:rPr>
      </w:pPr>
      <w:r>
        <w:rPr>
          <w:lang w:val="en-US"/>
        </w:rPr>
      </w:r>
    </w:p>
    <w:p>
      <w:pPr>
        <w:pStyle w:val="Heading2"/>
        <w:spacing w:lineRule="auto" w:line="240" w:before="0" w:after="200"/>
        <w:rPr>
          <w:rFonts w:ascii="Calibri" w:hAnsi="Calibri" w:cs="Calibri" w:asciiTheme="minorHAnsi" w:cstheme="minorHAnsi" w:hAnsiTheme="minorHAnsi"/>
          <w:lang w:val="en-US"/>
        </w:rPr>
      </w:pPr>
      <w:bookmarkStart w:id="13" w:name="_Toc495387900"/>
      <w:r>
        <w:rPr>
          <w:rFonts w:cs="Calibri" w:ascii="Calibri" w:hAnsi="Calibri" w:asciiTheme="minorHAnsi" w:cstheme="minorHAnsi" w:hAnsiTheme="minorHAnsi"/>
          <w:lang w:val="en-US"/>
        </w:rPr>
        <w:t>3.2. Choosing a career path</w:t>
      </w:r>
      <w:bookmarkEnd w:id="13"/>
      <w:r>
        <w:rPr>
          <w:rFonts w:cs="Calibri" w:ascii="Calibri" w:hAnsi="Calibri" w:asciiTheme="minorHAnsi" w:cstheme="minorHAnsi" w:hAnsiTheme="minorHAnsi"/>
          <w:lang w:val="en-US"/>
        </w:rPr>
        <w:t xml:space="preserve"> </w:t>
      </w:r>
    </w:p>
    <w:p>
      <w:pPr>
        <w:pStyle w:val="Normal"/>
        <w:spacing w:lineRule="auto" w:line="240" w:before="0" w:after="0"/>
        <w:jc w:val="both"/>
        <w:rPr>
          <w:b/>
          <w:b/>
          <w:color w:val="1F497D" w:themeColor="text2"/>
          <w:lang w:val="en-US"/>
        </w:rPr>
      </w:pPr>
      <w:r>
        <w:rPr>
          <w:b/>
          <w:color w:val="1F497D" w:themeColor="text2"/>
          <w:lang w:val="en-US"/>
        </w:rPr>
      </w:r>
    </w:p>
    <w:p>
      <w:pPr>
        <w:pStyle w:val="Normal"/>
        <w:spacing w:lineRule="auto" w:line="240" w:before="0" w:after="0"/>
        <w:jc w:val="both"/>
        <w:rPr>
          <w:lang w:val="en-US"/>
        </w:rPr>
      </w:pPr>
      <w:r>
        <w:rPr>
          <w:b/>
          <w:lang w:val="en-US"/>
        </w:rPr>
        <w:t xml:space="preserve">Gender roles play a significant role in the way students assess their career options. </w:t>
      </w:r>
      <w:r>
        <w:rPr>
          <w:lang w:val="en-US"/>
        </w:rPr>
        <w:t xml:space="preserve">A National Bureau of Statistic survey asked young men and women aged 15-30 about their main goal in life. The results are presented in the graph bellow. One can easily observe that future life goals are shaped by gender roles. Boys tend to focus evenly on having a career, creating a family and making money while girls are overwhelmingly focused on creating a family.  This finding is important to take in to consideration while students are asked to use different criteria in deciding different career options. Most likely, boys and girls on average will put different weight on different criteria.  </w:t>
      </w:r>
    </w:p>
    <w:p>
      <w:pPr>
        <w:pStyle w:val="Normal"/>
        <w:spacing w:lineRule="auto" w:line="240" w:before="0" w:after="0"/>
        <w:jc w:val="both"/>
        <w:rPr>
          <w:lang w:val="en-US"/>
        </w:rPr>
      </w:pPr>
      <w:r>
        <w:rPr>
          <w:lang w:val="en-US"/>
        </w:rPr>
      </w:r>
    </w:p>
    <w:p>
      <w:pPr>
        <w:pStyle w:val="Normal"/>
        <w:spacing w:lineRule="auto" w:line="240" w:before="0" w:after="0"/>
        <w:jc w:val="both"/>
        <w:rPr>
          <w:lang w:val="en-US"/>
        </w:rPr>
      </w:pPr>
      <w:r>
        <w:rPr/>
        <w:drawing>
          <wp:inline distT="0" distB="0" distL="0" distR="0">
            <wp:extent cx="4573905" cy="2345690"/>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lineRule="auto" w:line="240" w:before="0" w:after="0"/>
        <w:jc w:val="both"/>
        <w:rPr>
          <w:i/>
          <w:i/>
          <w:color w:val="1F497D" w:themeColor="text2"/>
          <w:sz w:val="20"/>
          <w:szCs w:val="20"/>
          <w:lang w:val="en-US"/>
        </w:rPr>
      </w:pPr>
      <w:r>
        <w:rPr>
          <w:i/>
          <w:color w:val="1F497D" w:themeColor="text2"/>
          <w:sz w:val="20"/>
          <w:szCs w:val="20"/>
          <w:lang w:val="en-US"/>
        </w:rPr>
        <w:t xml:space="preserve">Figure 3: Life goals among girls and boys aged 15-30, </w:t>
      </w:r>
    </w:p>
    <w:p>
      <w:pPr>
        <w:pStyle w:val="Normal"/>
        <w:spacing w:lineRule="auto" w:line="240" w:before="0" w:after="0"/>
        <w:jc w:val="both"/>
        <w:rPr>
          <w:i/>
          <w:i/>
          <w:color w:val="1F497D" w:themeColor="text2"/>
          <w:sz w:val="20"/>
          <w:szCs w:val="20"/>
          <w:lang w:val="en-US"/>
        </w:rPr>
      </w:pPr>
      <w:r>
        <w:rPr>
          <w:i/>
          <w:color w:val="1F497D" w:themeColor="text2"/>
          <w:sz w:val="20"/>
          <w:szCs w:val="20"/>
          <w:lang w:val="en-US"/>
        </w:rPr>
        <w:t xml:space="preserve">Source: National Bureau of Statistics </w:t>
      </w:r>
    </w:p>
    <w:p>
      <w:pPr>
        <w:pStyle w:val="Normal"/>
        <w:spacing w:lineRule="auto" w:line="240" w:before="0" w:after="0"/>
        <w:rPr>
          <w:color w:val="1F497D" w:themeColor="text2"/>
          <w:lang w:val="en-US"/>
        </w:rPr>
      </w:pPr>
      <w:r>
        <w:rPr>
          <w:color w:val="1F497D" w:themeColor="text2"/>
          <w:lang w:val="en-US"/>
        </w:rPr>
      </w:r>
    </w:p>
    <w:p>
      <w:pPr>
        <w:pStyle w:val="Normal"/>
        <w:spacing w:lineRule="auto" w:line="240" w:before="0" w:after="0"/>
        <w:jc w:val="both"/>
        <w:rPr>
          <w:lang w:val="en-US"/>
        </w:rPr>
      </w:pPr>
      <w:r>
        <w:rPr>
          <w:b/>
          <w:lang w:val="en-US"/>
        </w:rPr>
        <w:t xml:space="preserve">Vocational education (in collegiums) is as popular as general education among boys and university education is popular among girls. </w:t>
      </w:r>
      <w:r>
        <w:rPr>
          <w:lang w:val="en-US"/>
        </w:rPr>
        <w:t>The World Bank study</w:t>
      </w:r>
      <w:r>
        <w:rPr>
          <w:rStyle w:val="FootnoteCharacters"/>
          <w:rStyle w:val="FootnoteAnchor"/>
          <w:lang w:val="en-US"/>
        </w:rPr>
        <w:footnoteReference w:id="2"/>
      </w:r>
      <w:r>
        <w:rPr>
          <w:lang w:val="en-US"/>
        </w:rPr>
        <w:t xml:space="preserve"> found that 36 % of students would prefer vocational education, with a clear gender difference: while 43 percent of male ninth graders are interested in vocational education, only 30 percent of the females are. Of lyceum (12th grade) students, almost half (42 percent of men and 49 percent of women) want to continue to study in a Moldovan university. More women want to continue their studies. This was most evident for university students in their last year of undergraduate studies, 48 percent of women but just 28 percent of men reported an interest in further study.</w:t>
      </w:r>
    </w:p>
    <w:p>
      <w:pPr>
        <w:pStyle w:val="Normal"/>
        <w:spacing w:lineRule="auto" w:line="240" w:before="0" w:after="0"/>
        <w:rPr>
          <w:color w:val="1F497D" w:themeColor="text2"/>
          <w:lang w:val="en-US"/>
        </w:rPr>
      </w:pPr>
      <w:r>
        <w:rPr>
          <w:color w:val="1F497D" w:themeColor="text2"/>
          <w:lang w:val="en-US"/>
        </w:rPr>
      </w:r>
    </w:p>
    <w:p>
      <w:pPr>
        <w:pStyle w:val="Normal"/>
        <w:tabs>
          <w:tab w:val="clear" w:pos="708"/>
          <w:tab w:val="left" w:pos="3641" w:leader="none"/>
        </w:tabs>
        <w:spacing w:lineRule="auto" w:line="240" w:before="0" w:after="0"/>
        <w:jc w:val="both"/>
        <w:rPr>
          <w:rFonts w:cs="Calibri" w:cstheme="minorHAnsi"/>
          <w:lang w:val="en-US"/>
        </w:rPr>
      </w:pPr>
      <w:r/>
      <w:r>
        <w:rPr>
          <w:rFonts w:cs="Calibri" w:cstheme="minorHAnsi"/>
          <w:b/>
          <w:lang w:val="en-US"/>
        </w:rPr>
        <w:drawing>
          <wp:inline distT="0" distB="0" distL="0" distR="0">
            <wp:extent cx="2883535" cy="2636520"/>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t>L</w:t>
      </w:r>
      <w:r>
        <w:rPr>
          <w:rFonts w:cs="Calibri" w:cstheme="minorHAnsi"/>
          <w:b/>
          <w:lang w:val="en-US"/>
        </w:rPr>
        <w:t xml:space="preserve">abor market ambition of the gymnasium students is partly explained by the school performance. </w:t>
      </w:r>
      <w:r>
        <w:rPr>
          <w:rFonts w:cs="Calibri" w:cstheme="minorHAnsi"/>
          <w:lang w:val="en-US"/>
        </w:rPr>
        <w:t xml:space="preserve">Students with lower math and language score tend to opt for job prospects in less skill intensive sectors (agriculture, constriction) and intend to pursue less education after gymnasium (figure 5). Available data on the national school performance scoring shows that urban students and girls in general consistently outperform rural students and boys in general. Labor market segregation and inequality already starts in the school system. </w:t>
      </w:r>
    </w:p>
    <w:p>
      <w:pPr>
        <w:pStyle w:val="Normal"/>
        <w:tabs>
          <w:tab w:val="clear" w:pos="708"/>
          <w:tab w:val="left" w:pos="1481" w:leader="none"/>
        </w:tabs>
        <w:spacing w:lineRule="auto" w:line="240" w:before="0" w:after="0"/>
        <w:rPr>
          <w:rFonts w:cs="Calibri" w:cstheme="minorHAnsi"/>
          <w:i/>
          <w:i/>
          <w:color w:val="1F497D" w:themeColor="text2"/>
          <w:sz w:val="20"/>
          <w:szCs w:val="20"/>
          <w:lang w:val="en-US"/>
        </w:rPr>
      </w:pPr>
      <w:r>
        <w:rPr>
          <w:rFonts w:cs="Calibri" w:cstheme="minorHAnsi"/>
          <w:i/>
          <w:color w:val="1F497D" w:themeColor="text2"/>
          <w:sz w:val="20"/>
          <w:szCs w:val="20"/>
          <w:lang w:val="en-US"/>
        </w:rPr>
        <w:t>Figure 4: Desired sector of employment by student score     Figure 5: Intended future education by student score</w:t>
      </w:r>
    </w:p>
    <w:p>
      <w:pPr>
        <w:pStyle w:val="Normal"/>
        <w:tabs>
          <w:tab w:val="clear" w:pos="708"/>
          <w:tab w:val="left" w:pos="1481" w:leader="none"/>
        </w:tabs>
        <w:spacing w:lineRule="auto" w:line="240" w:before="0" w:after="0"/>
        <w:rPr>
          <w:rFonts w:cs="Calibri" w:cstheme="minorHAnsi"/>
          <w:i/>
          <w:i/>
          <w:color w:val="1F497D" w:themeColor="text2"/>
          <w:sz w:val="20"/>
          <w:szCs w:val="20"/>
          <w:lang w:val="en-US"/>
        </w:rPr>
      </w:pPr>
      <w:r>
        <w:rPr>
          <w:rFonts w:cs="Calibri" w:cstheme="minorHAnsi"/>
          <w:i/>
          <w:color w:val="1F497D" w:themeColor="text2"/>
          <w:sz w:val="20"/>
          <w:szCs w:val="20"/>
          <w:lang w:val="en-US"/>
        </w:rPr>
        <w:t>Source: Ministry of Education, Culture and Research            Source: Ministry of Education, Culture and Research</w:t>
      </w:r>
    </w:p>
    <w:p>
      <w:pPr>
        <w:pStyle w:val="Normal"/>
        <w:spacing w:lineRule="auto" w:line="240" w:before="0" w:after="0"/>
        <w:rPr>
          <w:color w:val="1F497D" w:themeColor="text2"/>
          <w:lang w:val="en-US"/>
        </w:rPr>
      </w:pPr>
      <w:r>
        <w:rPr>
          <w:color w:val="1F497D" w:themeColor="text2"/>
          <w:lang w:val="en-US"/>
        </w:rPr>
      </w:r>
    </w:p>
    <w:p>
      <w:pPr>
        <w:pStyle w:val="Normal"/>
        <w:tabs>
          <w:tab w:val="clear" w:pos="708"/>
          <w:tab w:val="left" w:pos="3641" w:leader="none"/>
        </w:tabs>
        <w:spacing w:lineRule="auto" w:line="240" w:before="0" w:after="0"/>
        <w:jc w:val="both"/>
        <w:rPr>
          <w:rFonts w:cs="Calibri" w:cstheme="minorHAnsi"/>
          <w:lang w:val="en-US"/>
        </w:rPr>
      </w:pPr>
      <w:r>
        <w:rPr>
          <w:rFonts w:cs="Calibri" w:cstheme="minorHAnsi"/>
          <w:b/>
          <w:lang w:val="en-US"/>
        </w:rPr>
        <w:t xml:space="preserve">Intended employment path for the inactive youth seem to differ based on residence and gender. </w:t>
      </w:r>
      <w:r>
        <w:rPr>
          <w:rFonts w:cs="Calibri" w:cstheme="minorHAnsi"/>
          <w:lang w:val="en-US"/>
        </w:rPr>
        <w:t xml:space="preserve">Youth females are more willing to take up high skill intensive jobs (managers and professionals) compared to young males. The intention gap is more significant for the rural/urban youth when it comes to preference for these types of jobs. Rural youth are more likely to opt for a less skilled job (service worker and craft and other trades workers) compared to the urban youth and youth females are more likely to choose a service job and male youth are more likely to choose a craft like job. </w:t>
      </w:r>
    </w:p>
    <w:p>
      <w:pPr>
        <w:pStyle w:val="Normal"/>
        <w:tabs>
          <w:tab w:val="clear" w:pos="708"/>
          <w:tab w:val="left" w:pos="3641" w:leader="none"/>
        </w:tabs>
        <w:rPr>
          <w:rFonts w:cs="Calibri" w:cstheme="minorHAnsi"/>
          <w:b/>
          <w:b/>
          <w:lang w:val="en-US"/>
        </w:rPr>
      </w:pPr>
      <w:r>
        <w:rPr>
          <w:rFonts w:cs="Calibri" w:cstheme="minorHAnsi"/>
          <w:b/>
          <w:lang w:val="en-US"/>
        </w:rPr>
        <w:drawing>
          <wp:inline distT="0" distB="0" distL="0" distR="0">
            <wp:extent cx="4314190" cy="2616200"/>
            <wp:effectExtent l="0" t="0" r="0" b="0"/>
            <wp:docPr id="1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Normal"/>
        <w:tabs>
          <w:tab w:val="clear" w:pos="708"/>
          <w:tab w:val="left" w:pos="3641" w:leader="none"/>
        </w:tabs>
        <w:rPr>
          <w:rFonts w:cs="Calibri" w:cstheme="minorHAnsi"/>
          <w:b/>
          <w:b/>
          <w:lang w:val="en-US"/>
        </w:rPr>
      </w:pPr>
      <w:r>
        <w:rPr>
          <w:rFonts w:cs="Calibri" w:cstheme="minorHAnsi"/>
          <w:b/>
          <w:lang w:val="en-US"/>
        </w:rPr>
      </w:r>
    </w:p>
    <w:p>
      <w:pPr>
        <w:pStyle w:val="Normal"/>
        <w:tabs>
          <w:tab w:val="clear" w:pos="708"/>
          <w:tab w:val="left" w:pos="3641" w:leader="none"/>
        </w:tabs>
        <w:rPr>
          <w:rFonts w:cs="Calibri" w:cstheme="minorHAnsi"/>
          <w:b/>
          <w:b/>
          <w:lang w:val="en-US"/>
        </w:rPr>
      </w:pPr>
      <w:r>
        <w:rPr>
          <w:rFonts w:cs="Calibri" w:cstheme="minorHAnsi"/>
          <w:b/>
          <w:lang w:val="en-US"/>
        </w:rPr>
      </w:r>
    </w:p>
    <w:p>
      <w:pPr>
        <w:pStyle w:val="Normal"/>
        <w:tabs>
          <w:tab w:val="clear" w:pos="708"/>
          <w:tab w:val="left" w:pos="3641" w:leader="none"/>
        </w:tabs>
        <w:rPr>
          <w:rFonts w:cs="Calibri" w:cstheme="minorHAnsi"/>
          <w:b/>
          <w:b/>
          <w:lang w:val="en-US"/>
        </w:rPr>
      </w:pPr>
      <w:r>
        <w:rPr>
          <w:rFonts w:cs="Calibri" w:cstheme="minorHAnsi"/>
          <w:b/>
          <w:lang w:val="en-US"/>
        </w:rPr>
      </w:r>
    </w:p>
    <w:p>
      <w:pPr>
        <w:pStyle w:val="Normal"/>
        <w:tabs>
          <w:tab w:val="clear" w:pos="708"/>
          <w:tab w:val="left" w:pos="3641" w:leader="none"/>
        </w:tabs>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b/>
          <w:b/>
          <w:lang w:val="en-US"/>
        </w:rPr>
      </w:pPr>
      <w:r>
        <w:rPr>
          <w:rFonts w:cs="Calibri" w:cstheme="minorHAnsi"/>
          <w:b/>
          <w:lang w:val="en-US"/>
        </w:rPr>
      </w:r>
    </w:p>
    <w:p>
      <w:pPr>
        <w:pStyle w:val="Normal"/>
        <w:tabs>
          <w:tab w:val="clear" w:pos="708"/>
          <w:tab w:val="left" w:pos="3641" w:leader="none"/>
        </w:tabs>
        <w:spacing w:lineRule="auto" w:line="240" w:before="0" w:after="0"/>
        <w:rPr>
          <w:rFonts w:cs="Calibri" w:cstheme="minorHAnsi"/>
          <w:i/>
          <w:i/>
          <w:color w:val="1F497D" w:themeColor="text2"/>
          <w:sz w:val="20"/>
          <w:szCs w:val="20"/>
          <w:lang w:val="en-US"/>
        </w:rPr>
      </w:pPr>
      <w:r>
        <w:rPr>
          <w:rFonts w:cs="Calibri" w:cstheme="minorHAnsi"/>
          <w:i/>
          <w:color w:val="1F497D" w:themeColor="text2"/>
          <w:sz w:val="20"/>
          <w:szCs w:val="20"/>
          <w:lang w:val="en-US"/>
        </w:rPr>
        <w:t>Figure: 6: Intended job of labor inactive youth %</w:t>
      </w:r>
    </w:p>
    <w:p>
      <w:pPr>
        <w:pStyle w:val="Normal"/>
        <w:tabs>
          <w:tab w:val="clear" w:pos="708"/>
          <w:tab w:val="left" w:pos="3641" w:leader="none"/>
        </w:tabs>
        <w:spacing w:lineRule="auto" w:line="240" w:before="0" w:after="0"/>
        <w:rPr>
          <w:rFonts w:cs="Calibri" w:cstheme="minorHAnsi"/>
          <w:i/>
          <w:i/>
          <w:color w:val="1F497D" w:themeColor="text2"/>
          <w:sz w:val="20"/>
          <w:szCs w:val="20"/>
          <w:lang w:val="en-US"/>
        </w:rPr>
      </w:pPr>
      <w:r>
        <w:rPr>
          <w:rFonts w:cs="Calibri" w:cstheme="minorHAnsi"/>
          <w:i/>
          <w:color w:val="1F497D" w:themeColor="text2"/>
          <w:sz w:val="20"/>
          <w:szCs w:val="20"/>
          <w:lang w:val="en-US"/>
        </w:rPr>
        <w:t>Source: National Bureau of Statistics</w:t>
      </w:r>
    </w:p>
    <w:p>
      <w:pPr>
        <w:pStyle w:val="Normal"/>
        <w:spacing w:lineRule="auto" w:line="240" w:before="0" w:after="0"/>
        <w:rPr>
          <w:color w:val="1F497D" w:themeColor="text2"/>
          <w:lang w:val="en-US"/>
        </w:rPr>
      </w:pPr>
      <w:r>
        <w:rPr>
          <w:color w:val="1F497D" w:themeColor="text2"/>
          <w:lang w:val="en-US"/>
        </w:rPr>
      </w:r>
    </w:p>
    <w:p>
      <w:pPr>
        <w:pStyle w:val="Normal"/>
        <w:spacing w:lineRule="auto" w:line="240" w:before="0" w:after="0"/>
        <w:rPr>
          <w:color w:val="1F497D" w:themeColor="text2"/>
          <w:lang w:val="en-US"/>
        </w:rPr>
      </w:pPr>
      <w:r>
        <w:rPr>
          <w:color w:val="1F497D" w:themeColor="text2"/>
          <w:lang w:val="en-US"/>
        </w:rPr>
      </w:r>
    </w:p>
    <w:p>
      <w:pPr>
        <w:pStyle w:val="Heading1"/>
        <w:rPr>
          <w:rFonts w:ascii="Calibri" w:hAnsi="Calibri" w:cs="Calibri" w:asciiTheme="minorHAnsi" w:cstheme="minorHAnsi" w:hAnsiTheme="minorHAnsi"/>
          <w:sz w:val="32"/>
          <w:szCs w:val="32"/>
          <w:lang w:val="en-US"/>
        </w:rPr>
      </w:pPr>
      <w:bookmarkStart w:id="14" w:name="_Toc495387901"/>
      <w:r>
        <w:rPr>
          <w:rFonts w:cs="Calibri" w:ascii="Calibri" w:hAnsi="Calibri" w:asciiTheme="minorHAnsi" w:cstheme="minorHAnsi" w:hAnsiTheme="minorHAnsi"/>
          <w:sz w:val="32"/>
          <w:szCs w:val="32"/>
          <w:lang w:val="en-US"/>
        </w:rPr>
        <w:t>IV. ANALYSIS</w:t>
      </w:r>
      <w:bookmarkEnd w:id="14"/>
      <w:r>
        <w:rPr>
          <w:rFonts w:cs="Calibri" w:ascii="Calibri" w:hAnsi="Calibri" w:asciiTheme="minorHAnsi" w:cstheme="minorHAnsi" w:hAnsiTheme="minorHAnsi"/>
          <w:sz w:val="32"/>
          <w:szCs w:val="32"/>
          <w:lang w:val="en-US"/>
        </w:rPr>
        <w:t xml:space="preserve"> </w:t>
      </w:r>
    </w:p>
    <w:p>
      <w:pPr>
        <w:pStyle w:val="Normal"/>
        <w:spacing w:lineRule="auto" w:line="240" w:before="0" w:after="0"/>
        <w:rPr>
          <w:color w:val="1F497D" w:themeColor="text2"/>
          <w:sz w:val="32"/>
          <w:szCs w:val="32"/>
          <w:lang w:val="en-US"/>
        </w:rPr>
      </w:pPr>
      <w:r>
        <w:rPr>
          <w:color w:val="1F497D" w:themeColor="text2"/>
          <w:sz w:val="32"/>
          <w:szCs w:val="32"/>
          <w:lang w:val="en-US"/>
        </w:rPr>
      </w:r>
    </w:p>
    <w:p>
      <w:pPr>
        <w:pStyle w:val="Heading2"/>
        <w:spacing w:before="0" w:after="200"/>
        <w:rPr>
          <w:rFonts w:ascii="Calibri" w:hAnsi="Calibri" w:cs="Calibri" w:asciiTheme="minorHAnsi" w:cstheme="minorHAnsi" w:hAnsiTheme="minorHAnsi"/>
          <w:lang w:val="en-US"/>
        </w:rPr>
      </w:pPr>
      <w:bookmarkStart w:id="15" w:name="_Toc495387902"/>
      <w:r>
        <w:rPr>
          <w:rFonts w:cs="Calibri" w:ascii="Calibri" w:hAnsi="Calibri" w:asciiTheme="minorHAnsi" w:cstheme="minorHAnsi" w:hAnsiTheme="minorHAnsi"/>
          <w:lang w:val="en-US"/>
        </w:rPr>
        <w:t>4.1. General assessment</w:t>
      </w:r>
      <w:bookmarkEnd w:id="15"/>
      <w:r>
        <w:rPr>
          <w:rFonts w:cs="Calibri" w:ascii="Calibri" w:hAnsi="Calibri" w:asciiTheme="minorHAnsi" w:cstheme="minorHAnsi" w:hAnsiTheme="minorHAnsi"/>
          <w:lang w:val="en-US"/>
        </w:rPr>
        <w:t xml:space="preserve"> </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jc w:val="both"/>
        <w:rPr>
          <w:lang w:val="en-US"/>
        </w:rPr>
      </w:pPr>
      <w:r>
        <w:rPr>
          <w:b/>
          <w:lang w:val="en-US"/>
        </w:rPr>
        <w:t xml:space="preserve">The assessment finds that VOCG materials are gender aware. </w:t>
      </w:r>
      <w:r>
        <w:rPr>
          <w:lang w:val="en-US"/>
        </w:rPr>
        <w:t xml:space="preserve">The average score on gender relevancy for all VOCG materials is 2,5 (out of 4) and the average score for gender mainstreaming is 2,3, the gender gap (the difference between the two) is not that significant. One should note that the assessment was done with the understanding that </w:t>
      </w:r>
      <w:r>
        <w:rPr>
          <w:rFonts w:cs="Calibri" w:cstheme="minorHAnsi"/>
          <w:lang w:val="en-US"/>
        </w:rPr>
        <w:t xml:space="preserve">VOCG authors had to balance multiple priorities given the fact that for each grade, the curricula allowed only 8 lessons on </w:t>
      </w:r>
      <w:r>
        <w:rPr>
          <w:rFonts w:cs="Calibri" w:cstheme="minorHAnsi"/>
          <w:bCs/>
          <w:lang w:val="en-US"/>
        </w:rPr>
        <w:t xml:space="preserve">vocational orientation and career counseling. </w:t>
      </w:r>
      <w:r>
        <w:rPr>
          <w:lang w:val="en-US"/>
        </w:rPr>
        <w:t>The VOCG materials take a very individual approach and help students to assess critically their career path decisions. This approach will help both the teachers and students to challenge any traditional gender roles and stereotypes.</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drawing>
          <wp:inline distT="0" distB="0" distL="0" distR="0">
            <wp:extent cx="2973070" cy="2449830"/>
            <wp:effectExtent l="0" t="0" r="0" b="0"/>
            <wp:docPr id="1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Normal"/>
        <w:spacing w:lineRule="auto" w:line="240" w:before="0" w:after="0"/>
        <w:rPr>
          <w:i/>
          <w:i/>
          <w:color w:val="1F497D" w:themeColor="text2"/>
          <w:sz w:val="20"/>
          <w:szCs w:val="20"/>
          <w:lang w:val="en-US"/>
        </w:rPr>
      </w:pPr>
      <w:r>
        <w:rPr>
          <w:i/>
          <w:color w:val="1F497D" w:themeColor="text2"/>
          <w:sz w:val="20"/>
          <w:szCs w:val="20"/>
          <w:lang w:val="en-US"/>
        </w:rPr>
        <w:t>Figure 7: General scoring for gender relevancy and gender mainstreaming.</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jc w:val="both"/>
        <w:rPr>
          <w:lang w:val="en-US"/>
        </w:rPr>
      </w:pPr>
      <w:r>
        <w:rPr>
          <w:b/>
          <w:lang w:val="en-US"/>
        </w:rPr>
        <w:t xml:space="preserve">The VOCG materials were developed based on the same general approach, hence general gender scoring variation is not significant.  </w:t>
      </w:r>
      <w:r>
        <w:rPr>
          <w:lang w:val="en-US"/>
        </w:rPr>
        <w:t xml:space="preserve">As a rule VOCG materials use gender sensitive images, gender sensitive language (with some exceptions) and a fairly equal representation of men/boys and female/girls as role models. For some topics that are highly gender relevant, VOCG materials highlight the importance of gender equality.  </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drawing>
          <wp:inline distT="0" distB="0" distL="0" distR="0">
            <wp:extent cx="5925820" cy="2338070"/>
            <wp:effectExtent l="0" t="0" r="0" b="0"/>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i/>
          <w:i/>
          <w:color w:val="1F497D" w:themeColor="text2"/>
          <w:sz w:val="20"/>
          <w:szCs w:val="20"/>
          <w:lang w:val="en-US"/>
        </w:rPr>
      </w:pPr>
      <w:r>
        <w:rPr>
          <w:i/>
          <w:color w:val="1F497D" w:themeColor="text2"/>
          <w:sz w:val="20"/>
          <w:szCs w:val="20"/>
          <w:lang w:val="en-US"/>
        </w:rPr>
        <w:t xml:space="preserve">Figure 8: Gender scoring for gender relevancy and gender mainstreaming for each grade in the curricula  </w:t>
      </w:r>
    </w:p>
    <w:p>
      <w:pPr>
        <w:pStyle w:val="Normal"/>
        <w:spacing w:lineRule="auto" w:line="240" w:before="0" w:after="0"/>
        <w:rPr>
          <w:b/>
          <w:b/>
          <w:color w:val="1F497D" w:themeColor="text2"/>
          <w:lang w:val="en-US"/>
        </w:rPr>
      </w:pPr>
      <w:r>
        <w:rPr>
          <w:b/>
          <w:color w:val="1F497D" w:themeColor="text2"/>
          <w:lang w:val="en-US"/>
        </w:rPr>
      </w:r>
    </w:p>
    <w:p>
      <w:pPr>
        <w:pStyle w:val="Heading2"/>
        <w:spacing w:before="0" w:after="200"/>
        <w:rPr>
          <w:rFonts w:ascii="Calibri" w:hAnsi="Calibri" w:cs="Calibri" w:asciiTheme="minorHAnsi" w:cstheme="minorHAnsi" w:hAnsiTheme="minorHAnsi"/>
          <w:lang w:val="en-US"/>
        </w:rPr>
      </w:pPr>
      <w:bookmarkStart w:id="16" w:name="_Toc495387903"/>
      <w:r>
        <w:rPr>
          <w:rFonts w:cs="Calibri" w:ascii="Calibri" w:hAnsi="Calibri" w:asciiTheme="minorHAnsi" w:cstheme="minorHAnsi" w:hAnsiTheme="minorHAnsi"/>
          <w:lang w:val="en-US"/>
        </w:rPr>
        <w:t>4.2. Fifth grade</w:t>
      </w:r>
      <w:bookmarkEnd w:id="16"/>
      <w:r>
        <w:rPr>
          <w:rFonts w:cs="Calibri" w:ascii="Calibri" w:hAnsi="Calibri" w:asciiTheme="minorHAnsi" w:cstheme="minorHAnsi" w:hAnsiTheme="minorHAnsi"/>
          <w:lang w:val="en-US"/>
        </w:rPr>
        <w:t xml:space="preserve"> </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jc w:val="both"/>
        <w:rPr>
          <w:lang w:val="en-US"/>
        </w:rPr>
      </w:pPr>
      <w:r>
        <w:rPr>
          <w:b/>
          <w:lang w:val="en-US"/>
        </w:rPr>
        <w:t xml:space="preserve">Materials for teachers and students broadly address the main gender issues related to vocational training and career development. </w:t>
      </w:r>
      <w:r>
        <w:rPr>
          <w:lang w:val="en-US"/>
        </w:rPr>
        <w:t xml:space="preserve">Using gender assessment methodology, gender relevancy of all eight lessons was scored with an average of 2,7 from maximum four points, and the level of gender equality mainstreaming was scored with an average of 2,4. Since there is no significant gap between gender relevancy and gender mainstreaming, the assessment concludes that lessons materials are gender sensitive. The scoring for all lessons is presented in the figure bellow.  </w:t>
      </w:r>
    </w:p>
    <w:p>
      <w:pPr>
        <w:pStyle w:val="Normal"/>
        <w:spacing w:lineRule="auto" w:line="240" w:before="0" w:after="0"/>
        <w:jc w:val="both"/>
        <w:rPr>
          <w:lang w:val="en-US"/>
        </w:rPr>
      </w:pPr>
      <w:r>
        <w:rPr>
          <w:lang w:val="en-US"/>
        </w:rPr>
      </w:r>
    </w:p>
    <w:p>
      <w:pPr>
        <w:pStyle w:val="Normal"/>
        <w:spacing w:lineRule="auto" w:line="240" w:before="0" w:after="0"/>
        <w:rPr>
          <w:b/>
          <w:b/>
          <w:lang w:val="en-US"/>
        </w:rPr>
      </w:pPr>
      <w:r>
        <w:rPr/>
        <w:drawing>
          <wp:inline distT="0" distB="0" distL="0" distR="0">
            <wp:extent cx="5163185" cy="2527300"/>
            <wp:effectExtent l="0" t="0" r="0" b="0"/>
            <wp:docPr id="1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Normal"/>
        <w:spacing w:lineRule="auto" w:line="240" w:before="0" w:after="0"/>
        <w:rPr>
          <w:i/>
          <w:i/>
          <w:color w:val="1F497D" w:themeColor="text2"/>
          <w:sz w:val="20"/>
          <w:szCs w:val="20"/>
          <w:lang w:val="en-US"/>
        </w:rPr>
      </w:pPr>
      <w:r>
        <w:rPr>
          <w:i/>
          <w:color w:val="1F497D" w:themeColor="text2"/>
          <w:sz w:val="20"/>
          <w:szCs w:val="20"/>
          <w:lang w:val="en-US"/>
        </w:rPr>
        <w:t>Figure 9: Gender relevancy and gender mainstreaming score for the 5</w:t>
      </w:r>
      <w:r>
        <w:rPr>
          <w:i/>
          <w:color w:val="1F497D" w:themeColor="text2"/>
          <w:sz w:val="20"/>
          <w:szCs w:val="20"/>
          <w:vertAlign w:val="superscript"/>
          <w:lang w:val="en-US"/>
        </w:rPr>
        <w:t>th</w:t>
      </w:r>
      <w:r>
        <w:rPr>
          <w:i/>
          <w:color w:val="1F497D" w:themeColor="text2"/>
          <w:sz w:val="20"/>
          <w:szCs w:val="20"/>
          <w:lang w:val="en-US"/>
        </w:rPr>
        <w:t xml:space="preserve"> grade materials </w:t>
      </w:r>
    </w:p>
    <w:p>
      <w:pPr>
        <w:pStyle w:val="Normal"/>
        <w:spacing w:lineRule="auto" w:line="240" w:before="0" w:after="0"/>
        <w:rPr>
          <w:b/>
          <w:b/>
          <w:lang w:val="en-US"/>
        </w:rPr>
      </w:pPr>
      <w:r>
        <w:rPr>
          <w:b/>
          <w:lang w:val="en-US"/>
        </w:rPr>
      </w:r>
    </w:p>
    <w:p>
      <w:pPr>
        <w:pStyle w:val="Normal"/>
        <w:spacing w:lineRule="auto" w:line="240" w:before="0" w:after="0"/>
        <w:jc w:val="both"/>
        <w:rPr>
          <w:lang w:val="en-US"/>
        </w:rPr>
      </w:pPr>
      <w:r>
        <w:rPr>
          <w:b/>
          <w:lang w:val="en-US"/>
        </w:rPr>
        <w:t xml:space="preserve">The fifth lesson in the curricula is the most gender relevant and was approached by the authors accordingly. </w:t>
      </w:r>
      <w:r>
        <w:rPr>
          <w:lang w:val="en-US"/>
        </w:rPr>
        <w:t xml:space="preserve">The goal of this lesson is to help boys and girls to think in terms of their dream job. This topic is highly gender relevant due to the prevalence of the traditional gender roles and in shaping of career choices for men and women. The lesson plan allows to for the students to think and debate critically the existence of traditional male and female jobs. </w:t>
      </w:r>
    </w:p>
    <w:p>
      <w:pPr>
        <w:pStyle w:val="Normal"/>
        <w:spacing w:lineRule="auto" w:line="240" w:before="0" w:after="0"/>
        <w:jc w:val="both"/>
        <w:rPr>
          <w:b/>
          <w:b/>
          <w:lang w:val="en-US"/>
        </w:rPr>
      </w:pPr>
      <w:r>
        <w:rPr>
          <w:b/>
          <w:lang w:val="en-US"/>
        </w:rPr>
      </w:r>
    </w:p>
    <w:p>
      <w:pPr>
        <w:pStyle w:val="Normal"/>
        <w:spacing w:lineRule="auto" w:line="240" w:before="0" w:after="0"/>
        <w:jc w:val="both"/>
        <w:rPr>
          <w:lang w:val="en-US"/>
        </w:rPr>
      </w:pPr>
      <w:r>
        <w:rPr>
          <w:b/>
          <w:lang w:val="en-US"/>
        </w:rPr>
        <w:t xml:space="preserve">Three lesson plans and materials can be strengthened from gender equality perspective. </w:t>
      </w:r>
      <w:r>
        <w:rPr>
          <w:lang w:val="en-US"/>
        </w:rPr>
        <w:t xml:space="preserve">These refer to the first, second and the eighth lesson. The topics of these lessons are above average relevant from gender equality perspective since they refer to themes that touch on the issues related to gender inequality in labor market and domestic work. These issues are analyzed in the table below. </w:t>
      </w:r>
    </w:p>
    <w:p>
      <w:pPr>
        <w:pStyle w:val="Normal"/>
        <w:spacing w:lineRule="auto" w:line="240" w:before="0" w:after="0"/>
        <w:jc w:val="both"/>
        <w:rPr>
          <w:b/>
          <w:b/>
          <w:lang w:val="en-US"/>
        </w:rPr>
      </w:pPr>
      <w:r>
        <w:rPr>
          <w:b/>
          <w:lang w:val="en-US"/>
        </w:rPr>
      </w:r>
    </w:p>
    <w:tbl>
      <w:tblPr>
        <w:tblStyle w:val="Style1"/>
        <w:tblW w:w="9889" w:type="dxa"/>
        <w:jc w:val="left"/>
        <w:tblInd w:w="0" w:type="dxa"/>
        <w:tblCellMar>
          <w:top w:w="0" w:type="dxa"/>
          <w:left w:w="107" w:type="dxa"/>
          <w:bottom w:w="0" w:type="dxa"/>
          <w:right w:w="108" w:type="dxa"/>
        </w:tblCellMar>
        <w:tblLook w:firstRow="1" w:noVBand="1" w:lastRow="0" w:firstColumn="1" w:lastColumn="0" w:noHBand="0" w:val="04a0"/>
      </w:tblPr>
      <w:tblGrid>
        <w:gridCol w:w="1808"/>
        <w:gridCol w:w="2269"/>
        <w:gridCol w:w="5812"/>
      </w:tblGrid>
      <w:tr>
        <w:trPr>
          <w:cnfStyle w:val="100000000000" w:firstRow="1" w:lastRow="0" w:firstColumn="0" w:lastColumn="0" w:oddVBand="0" w:evenVBand="0" w:oddHBand="0" w:evenHBand="0" w:firstRowFirstColumn="0" w:firstRowLastColumn="0" w:lastRowFirstColumn="0" w:lastRowLastColumn="0"/>
        </w:trPr>
        <w:tc>
          <w:tcPr>
            <w:tcW w:w="1808" w:type="dxa"/>
            <w:tcBorders/>
            <w:shd w:color="000000" w:fill="FFFFFF" w:val="solid"/>
          </w:tcPr>
          <w:p>
            <w:pPr>
              <w:pStyle w:val="Normal"/>
              <w:spacing w:lineRule="auto" w:line="240" w:before="0" w:after="0"/>
              <w:jc w:val="center"/>
              <w:rPr>
                <w:b w:val="false"/>
                <w:b w:val="false"/>
                <w:lang w:val="en-US"/>
              </w:rPr>
            </w:pPr>
            <w:r>
              <w:rPr>
                <w:b w:val="false"/>
                <w:bCs/>
                <w:color w:val="auto"/>
                <w:lang w:val="en-US"/>
              </w:rPr>
              <w:t xml:space="preserve">Lesson: </w:t>
            </w:r>
          </w:p>
          <w:p>
            <w:pPr>
              <w:pStyle w:val="Normal"/>
              <w:spacing w:lineRule="auto" w:line="240" w:before="0" w:after="0"/>
              <w:jc w:val="center"/>
              <w:rPr>
                <w:b w:val="false"/>
                <w:b w:val="false"/>
                <w:bCs/>
                <w:color w:val="auto"/>
                <w:lang w:val="en-US"/>
              </w:rPr>
            </w:pPr>
            <w:r>
              <w:rPr>
                <w:b w:val="false"/>
                <w:bCs/>
                <w:color w:val="auto"/>
                <w:lang w:val="en-US"/>
              </w:rPr>
            </w:r>
          </w:p>
        </w:tc>
        <w:tc>
          <w:tcPr>
            <w:tcW w:w="2269" w:type="dxa"/>
            <w:tcBorders/>
            <w:shd w:color="000000" w:fill="FFFFFF" w:val="solid"/>
          </w:tcPr>
          <w:p>
            <w:pPr>
              <w:pStyle w:val="Normal"/>
              <w:spacing w:lineRule="auto" w:line="240" w:before="0" w:after="0"/>
              <w:jc w:val="center"/>
              <w:rPr>
                <w:b w:val="false"/>
                <w:b w:val="false"/>
                <w:lang w:val="en-US"/>
              </w:rPr>
            </w:pPr>
            <w:r>
              <w:rPr>
                <w:b w:val="false"/>
                <w:bCs/>
                <w:color w:val="auto"/>
                <w:lang w:val="en-US"/>
              </w:rPr>
              <w:t>Gender relevancy</w:t>
            </w:r>
          </w:p>
        </w:tc>
        <w:tc>
          <w:tcPr>
            <w:tcW w:w="5812" w:type="dxa"/>
            <w:tcBorders/>
            <w:shd w:color="000000" w:fill="FFFFFF" w:val="solid"/>
          </w:tcPr>
          <w:p>
            <w:pPr>
              <w:pStyle w:val="Normal"/>
              <w:spacing w:lineRule="auto" w:line="240" w:before="0" w:after="0"/>
              <w:jc w:val="center"/>
              <w:rPr>
                <w:b w:val="false"/>
                <w:b w:val="false"/>
                <w:lang w:val="en-US"/>
              </w:rPr>
            </w:pPr>
            <w:r>
              <w:rPr>
                <w:b w:val="false"/>
                <w:bCs/>
                <w:color w:val="auto"/>
                <w:lang w:val="en-US"/>
              </w:rPr>
              <w:t>Ways to integrate gender equality:</w:t>
            </w:r>
          </w:p>
        </w:tc>
      </w:tr>
      <w:tr>
        <w:trPr/>
        <w:tc>
          <w:tcPr>
            <w:tcW w:w="1808" w:type="dxa"/>
            <w:tcBorders/>
            <w:shd w:fill="auto" w:val="clear"/>
          </w:tcPr>
          <w:p>
            <w:pPr>
              <w:pStyle w:val="Normal"/>
              <w:spacing w:lineRule="auto" w:line="240" w:before="0" w:after="0"/>
              <w:rPr>
                <w:lang w:val="en-US"/>
              </w:rPr>
            </w:pPr>
            <w:r>
              <w:rPr>
                <w:b/>
                <w:lang w:val="en-US"/>
              </w:rPr>
              <w:t xml:space="preserve">Theme 1: </w:t>
            </w:r>
            <w:r>
              <w:rPr>
                <w:lang w:val="en-US"/>
              </w:rPr>
              <w:t xml:space="preserve">Decisions for career planning. </w:t>
            </w:r>
          </w:p>
          <w:p>
            <w:pPr>
              <w:pStyle w:val="Normal"/>
              <w:spacing w:lineRule="auto" w:line="240" w:before="0" w:after="0"/>
              <w:rPr>
                <w:lang w:val="en-US"/>
              </w:rPr>
            </w:pPr>
            <w:r>
              <w:rPr>
                <w:lang w:val="en-US"/>
              </w:rPr>
            </w:r>
          </w:p>
        </w:tc>
        <w:tc>
          <w:tcPr>
            <w:tcW w:w="2269" w:type="dxa"/>
            <w:tcBorders/>
            <w:shd w:fill="auto" w:val="clear"/>
          </w:tcPr>
          <w:p>
            <w:pPr>
              <w:pStyle w:val="Normal"/>
              <w:spacing w:lineRule="auto" w:line="240" w:before="0" w:after="0"/>
              <w:rPr>
                <w:b/>
                <w:b/>
                <w:lang w:val="en-US"/>
              </w:rPr>
            </w:pPr>
            <w:r>
              <w:rPr>
                <w:b/>
                <w:lang w:val="en-US"/>
              </w:rPr>
              <w:t xml:space="preserve">Gender relevant </w:t>
            </w:r>
          </w:p>
          <w:p>
            <w:pPr>
              <w:pStyle w:val="Normal"/>
              <w:spacing w:lineRule="auto" w:line="240" w:before="0" w:after="0"/>
              <w:rPr>
                <w:lang w:val="en-US"/>
              </w:rPr>
            </w:pPr>
            <w:r>
              <w:rPr>
                <w:lang w:val="en-US"/>
              </w:rPr>
              <w:t xml:space="preserve">Career decisions are influenced by the gender roles. </w:t>
            </w:r>
          </w:p>
        </w:tc>
        <w:tc>
          <w:tcPr>
            <w:tcW w:w="5812" w:type="dxa"/>
            <w:tcBorders/>
            <w:shd w:fill="auto" w:val="clear"/>
          </w:tcPr>
          <w:p>
            <w:pPr>
              <w:pStyle w:val="Normal"/>
              <w:spacing w:lineRule="auto" w:line="240" w:before="0" w:after="0"/>
              <w:rPr>
                <w:lang w:val="en-US"/>
              </w:rPr>
            </w:pPr>
            <w:r>
              <w:rPr>
                <w:lang w:val="en-US"/>
              </w:rPr>
              <w:t xml:space="preserve">Gender equality perspective can be strengthened by adding specific gender relevant questions. It is important for the students to reflect on the extent to which their interviewees chose one career path or another because of the gender roles. </w:t>
            </w:r>
          </w:p>
        </w:tc>
      </w:tr>
      <w:tr>
        <w:trPr/>
        <w:tc>
          <w:tcPr>
            <w:tcW w:w="1808" w:type="dxa"/>
            <w:tcBorders/>
            <w:shd w:fill="auto" w:val="clear"/>
          </w:tcPr>
          <w:p>
            <w:pPr>
              <w:pStyle w:val="Normal"/>
              <w:spacing w:lineRule="auto" w:line="240" w:before="0" w:after="0"/>
              <w:rPr>
                <w:b/>
                <w:b/>
                <w:lang w:val="en-US"/>
              </w:rPr>
            </w:pPr>
            <w:r>
              <w:rPr>
                <w:b/>
                <w:lang w:val="en-US"/>
              </w:rPr>
              <w:t xml:space="preserve">Theme 2: </w:t>
            </w:r>
            <w:r>
              <w:rPr>
                <w:lang w:val="en-US"/>
              </w:rPr>
              <w:t>My family and work</w:t>
            </w:r>
            <w:r>
              <w:rPr>
                <w:b/>
                <w:lang w:val="en-US"/>
              </w:rPr>
              <w:t xml:space="preserve"> </w:t>
            </w:r>
          </w:p>
        </w:tc>
        <w:tc>
          <w:tcPr>
            <w:tcW w:w="2269" w:type="dxa"/>
            <w:tcBorders/>
            <w:shd w:fill="auto" w:val="clear"/>
          </w:tcPr>
          <w:p>
            <w:pPr>
              <w:pStyle w:val="Normal"/>
              <w:spacing w:lineRule="auto" w:line="240" w:before="0" w:after="0"/>
              <w:rPr>
                <w:b/>
                <w:b/>
                <w:lang w:val="en-US"/>
              </w:rPr>
            </w:pPr>
            <w:r>
              <w:rPr>
                <w:b/>
                <w:lang w:val="en-US"/>
              </w:rPr>
              <w:t>Gender relevant</w:t>
            </w:r>
          </w:p>
          <w:p>
            <w:pPr>
              <w:pStyle w:val="Normal"/>
              <w:spacing w:lineRule="auto" w:line="240" w:before="0" w:after="0"/>
              <w:rPr>
                <w:lang w:val="en-US"/>
              </w:rPr>
            </w:pPr>
            <w:r>
              <w:rPr>
                <w:lang w:val="en-US"/>
              </w:rPr>
              <w:t xml:space="preserve">Domestic work has a significant gender division.  </w:t>
            </w:r>
          </w:p>
        </w:tc>
        <w:tc>
          <w:tcPr>
            <w:tcW w:w="5812" w:type="dxa"/>
            <w:tcBorders/>
            <w:shd w:fill="auto" w:val="clear"/>
          </w:tcPr>
          <w:p>
            <w:pPr>
              <w:pStyle w:val="Normal"/>
              <w:spacing w:lineRule="auto" w:line="240" w:before="0" w:after="0"/>
              <w:rPr>
                <w:lang w:val="en-US"/>
              </w:rPr>
            </w:pPr>
            <w:r>
              <w:rPr>
                <w:lang w:val="en-US"/>
              </w:rPr>
              <w:t xml:space="preserve">It is important for the students to understand the way gender roles affect labor distribution within the household. One of the key messages for this lesson is the importance for the boys to be encouraged in taking on more care work (taking care of their siblings, cooking, washing the dishes, etc). </w:t>
            </w:r>
          </w:p>
        </w:tc>
      </w:tr>
      <w:tr>
        <w:trPr/>
        <w:tc>
          <w:tcPr>
            <w:tcW w:w="1808" w:type="dxa"/>
            <w:tcBorders/>
            <w:shd w:fill="auto" w:val="clear"/>
          </w:tcPr>
          <w:p>
            <w:pPr>
              <w:pStyle w:val="Normal"/>
              <w:spacing w:lineRule="auto" w:line="240" w:before="0" w:after="0"/>
              <w:rPr>
                <w:lang w:val="en-US"/>
              </w:rPr>
            </w:pPr>
            <w:r>
              <w:rPr>
                <w:b/>
                <w:lang w:val="en-US"/>
              </w:rPr>
              <w:t xml:space="preserve">There 8: </w:t>
            </w:r>
            <w:r>
              <w:rPr>
                <w:lang w:val="en-US"/>
              </w:rPr>
              <w:t xml:space="preserve">My first career project </w:t>
            </w:r>
          </w:p>
        </w:tc>
        <w:tc>
          <w:tcPr>
            <w:tcW w:w="2269" w:type="dxa"/>
            <w:tcBorders/>
            <w:shd w:fill="auto" w:val="clear"/>
          </w:tcPr>
          <w:p>
            <w:pPr>
              <w:pStyle w:val="Normal"/>
              <w:spacing w:lineRule="auto" w:line="240" w:before="0" w:after="0"/>
              <w:rPr>
                <w:b/>
                <w:b/>
                <w:lang w:val="en-US"/>
              </w:rPr>
            </w:pPr>
            <w:r>
              <w:rPr>
                <w:b/>
                <w:lang w:val="en-US"/>
              </w:rPr>
              <w:t xml:space="preserve">Gender relevant </w:t>
            </w:r>
          </w:p>
          <w:p>
            <w:pPr>
              <w:pStyle w:val="Normal"/>
              <w:spacing w:lineRule="auto" w:line="240" w:before="0" w:after="0"/>
              <w:rPr>
                <w:lang w:val="en-US"/>
              </w:rPr>
            </w:pPr>
            <w:r>
              <w:rPr>
                <w:lang w:val="en-US"/>
              </w:rPr>
              <w:t>Career decisions are influenced by the gender roles.</w:t>
            </w:r>
          </w:p>
        </w:tc>
        <w:tc>
          <w:tcPr>
            <w:tcW w:w="5812" w:type="dxa"/>
            <w:tcBorders/>
            <w:shd w:fill="auto" w:val="clear"/>
          </w:tcPr>
          <w:p>
            <w:pPr>
              <w:pStyle w:val="Normal"/>
              <w:spacing w:lineRule="auto" w:line="240" w:before="0" w:after="0"/>
              <w:rPr>
                <w:lang w:val="en-US"/>
              </w:rPr>
            </w:pPr>
            <w:r>
              <w:rPr>
                <w:lang w:val="en-US"/>
              </w:rPr>
              <w:t xml:space="preserve">The teacher can critically assess student’s portfolios and help them understand that all professions can be equally accessed by both boys and girls. </w:t>
            </w:r>
          </w:p>
        </w:tc>
      </w:tr>
    </w:tbl>
    <w:p>
      <w:pPr>
        <w:pStyle w:val="Normal"/>
        <w:rPr>
          <w:b/>
          <w:b/>
          <w:lang w:val="en-US"/>
        </w:rPr>
      </w:pPr>
      <w:r>
        <w:rPr>
          <w:b/>
          <w:lang w:val="en-US"/>
        </w:rPr>
      </w:r>
    </w:p>
    <w:p>
      <w:pPr>
        <w:pStyle w:val="Heading2"/>
        <w:spacing w:before="0" w:after="200"/>
        <w:rPr>
          <w:rFonts w:ascii="Calibri" w:hAnsi="Calibri" w:cs="Calibri" w:asciiTheme="minorHAnsi" w:cstheme="minorHAnsi" w:hAnsiTheme="minorHAnsi"/>
          <w:lang w:val="en-US"/>
        </w:rPr>
      </w:pPr>
      <w:bookmarkStart w:id="17" w:name="_Toc495387904"/>
      <w:r>
        <w:rPr>
          <w:rFonts w:cs="Calibri" w:ascii="Calibri" w:hAnsi="Calibri" w:asciiTheme="minorHAnsi" w:cstheme="minorHAnsi" w:hAnsiTheme="minorHAnsi"/>
          <w:lang w:val="en-US"/>
        </w:rPr>
        <w:t>4.3. Grade VI</w:t>
      </w:r>
      <w:bookmarkEnd w:id="17"/>
    </w:p>
    <w:p>
      <w:pPr>
        <w:pStyle w:val="Normal"/>
        <w:spacing w:before="0" w:after="0"/>
        <w:rPr>
          <w:lang w:val="en-US"/>
        </w:rPr>
      </w:pPr>
      <w:r>
        <w:rPr>
          <w:lang w:val="en-US"/>
        </w:rPr>
      </w:r>
    </w:p>
    <w:p>
      <w:pPr>
        <w:pStyle w:val="Normal"/>
        <w:spacing w:lineRule="auto" w:line="240" w:before="0" w:after="0"/>
        <w:jc w:val="both"/>
        <w:rPr>
          <w:color w:val="000000" w:themeColor="text1"/>
          <w:lang w:val="en-US"/>
        </w:rPr>
      </w:pPr>
      <w:r>
        <w:rPr>
          <w:b/>
          <w:color w:val="000000" w:themeColor="text1"/>
          <w:lang w:val="en-US"/>
        </w:rPr>
        <w:t xml:space="preserve">Gender mainstreaming is on par with gender relevancy. </w:t>
      </w:r>
      <w:r>
        <w:rPr>
          <w:color w:val="000000" w:themeColor="text1"/>
          <w:lang w:val="en-US"/>
        </w:rPr>
        <w:t xml:space="preserve">The average score for gender relevancy was 2,4 and average score for gender mainstreaming was 2,3. The score for gender mainstreaming is mostly attributed to the highly individual approach within most of the lessons plans and materials. Boys and girls’ students are encouraged to think critically and assess their inner strengths and weakness in deciding on their career path. </w:t>
      </w:r>
    </w:p>
    <w:p>
      <w:pPr>
        <w:pStyle w:val="Normal"/>
        <w:spacing w:lineRule="auto" w:line="240" w:before="0" w:after="0"/>
        <w:rPr>
          <w:color w:val="000000" w:themeColor="text1"/>
          <w:lang w:val="en-US"/>
        </w:rPr>
      </w:pPr>
      <w:r>
        <w:rPr>
          <w:color w:val="000000" w:themeColor="text1"/>
          <w:lang w:val="en-US"/>
        </w:rPr>
      </w:r>
    </w:p>
    <w:p>
      <w:pPr>
        <w:pStyle w:val="Normal"/>
        <w:spacing w:lineRule="auto" w:line="240" w:before="0" w:after="0"/>
        <w:rPr>
          <w:b/>
          <w:b/>
          <w:color w:val="000000" w:themeColor="text1"/>
          <w:lang w:val="en-US"/>
        </w:rPr>
      </w:pPr>
      <w:r>
        <w:rPr>
          <w:b/>
          <w:color w:val="000000" w:themeColor="text1"/>
          <w:lang w:val="en-US"/>
        </w:rPr>
        <w:drawing>
          <wp:inline distT="0" distB="0" distL="0" distR="0">
            <wp:extent cx="5240020" cy="2425065"/>
            <wp:effectExtent l="0" t="0" r="0" b="0"/>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1F497D" w:themeColor="text2"/>
          <w:lang w:val="en-US"/>
        </w:rPr>
      </w:pPr>
      <w:r>
        <w:rPr>
          <w:color w:val="1F497D" w:themeColor="text2"/>
          <w:lang w:val="en-US"/>
        </w:rPr>
      </w:r>
    </w:p>
    <w:p>
      <w:pPr>
        <w:pStyle w:val="Normal"/>
        <w:tabs>
          <w:tab w:val="clear" w:pos="708"/>
          <w:tab w:val="left" w:pos="1399" w:leader="none"/>
        </w:tabs>
        <w:rPr>
          <w:i/>
          <w:i/>
          <w:color w:val="1F497D" w:themeColor="text2"/>
          <w:sz w:val="20"/>
          <w:szCs w:val="20"/>
          <w:lang w:val="en-US"/>
        </w:rPr>
      </w:pPr>
      <w:r>
        <w:rPr>
          <w:i/>
          <w:color w:val="1F497D" w:themeColor="text2"/>
          <w:sz w:val="20"/>
          <w:szCs w:val="20"/>
          <w:lang w:val="en-US"/>
        </w:rPr>
        <w:t>Figure 10: Gender relevancy and gender mainstreaming score for the 6</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Normal"/>
        <w:tabs>
          <w:tab w:val="clear" w:pos="708"/>
          <w:tab w:val="left" w:pos="1399" w:leader="none"/>
        </w:tabs>
        <w:spacing w:lineRule="auto" w:line="240" w:before="0" w:after="0"/>
        <w:jc w:val="both"/>
        <w:rPr>
          <w:lang w:val="en-US"/>
        </w:rPr>
      </w:pPr>
      <w:r>
        <w:rPr>
          <w:b/>
          <w:lang w:val="en-US"/>
        </w:rPr>
        <w:t xml:space="preserve">Gender language in describing and listing professions was not fully used. </w:t>
      </w:r>
      <w:r>
        <w:rPr>
          <w:lang w:val="en-US"/>
        </w:rPr>
        <w:t xml:space="preserve">As a general rule, it is advised that in describing and listing the professions, these should be presented in the feminine and masculine versions. A less favorable option would be to present all professions in the masculine form, but note that the authors mean that these professions are meant for both boys and girls. The least favorable option is to present some professions in their feminine form and other profession in their masculine form. In materials referring to the third lesson, authors use both masculine/fem forms of the profession in one case and the masculine versions for the others. </w:t>
      </w:r>
    </w:p>
    <w:p>
      <w:pPr>
        <w:pStyle w:val="Normal"/>
        <w:tabs>
          <w:tab w:val="clear" w:pos="708"/>
          <w:tab w:val="left" w:pos="1399" w:leader="none"/>
        </w:tabs>
        <w:spacing w:lineRule="auto" w:line="240" w:before="0" w:after="0"/>
        <w:jc w:val="both"/>
        <w:rPr>
          <w:lang w:val="en-US"/>
        </w:rPr>
      </w:pPr>
      <w:r>
        <w:rPr>
          <w:lang w:val="en-US"/>
        </w:rPr>
      </w:r>
    </w:p>
    <w:p>
      <w:pPr>
        <w:pStyle w:val="Normal"/>
        <w:tabs>
          <w:tab w:val="clear" w:pos="708"/>
          <w:tab w:val="left" w:pos="1399" w:leader="none"/>
        </w:tabs>
        <w:spacing w:lineRule="auto" w:line="240" w:before="0" w:after="0"/>
        <w:jc w:val="both"/>
        <w:rPr>
          <w:lang w:val="en-US"/>
        </w:rPr>
      </w:pPr>
      <w:r>
        <w:rPr>
          <w:b/>
          <w:lang w:val="en-US"/>
        </w:rPr>
        <w:t xml:space="preserve">Given highly individual approach within this grade, the role of the teacher is the key. </w:t>
      </w:r>
      <w:r>
        <w:rPr>
          <w:lang w:val="en-US"/>
        </w:rPr>
        <w:t xml:space="preserve">Teachers should be given materials and advice on how to help the students to think critically about their capacities and career choices. One useful way to do this is to help the students think about men and women working in nontraditional sectors. </w:t>
      </w:r>
    </w:p>
    <w:p>
      <w:pPr>
        <w:pStyle w:val="Normal"/>
        <w:tabs>
          <w:tab w:val="clear" w:pos="708"/>
          <w:tab w:val="left" w:pos="1399" w:leader="none"/>
        </w:tabs>
        <w:spacing w:lineRule="auto" w:line="240" w:before="0" w:after="0"/>
        <w:jc w:val="both"/>
        <w:rPr>
          <w:lang w:val="en-US"/>
        </w:rPr>
      </w:pPr>
      <w:r>
        <w:rPr>
          <w:lang w:val="en-US"/>
        </w:rPr>
      </w:r>
    </w:p>
    <w:p>
      <w:pPr>
        <w:pStyle w:val="Normal"/>
        <w:tabs>
          <w:tab w:val="clear" w:pos="708"/>
          <w:tab w:val="left" w:pos="1399" w:leader="none"/>
        </w:tabs>
        <w:spacing w:lineRule="auto" w:line="240" w:before="0" w:after="0"/>
        <w:jc w:val="both"/>
        <w:rPr>
          <w:lang w:val="en-US"/>
        </w:rPr>
      </w:pPr>
      <w:r>
        <w:rPr>
          <w:lang w:val="en-US"/>
        </w:rPr>
      </w:r>
    </w:p>
    <w:p>
      <w:pPr>
        <w:pStyle w:val="Heading2"/>
        <w:spacing w:before="0" w:after="200"/>
        <w:rPr>
          <w:rFonts w:ascii="Calibri" w:hAnsi="Calibri" w:cs="Calibri" w:asciiTheme="minorHAnsi" w:cstheme="minorHAnsi" w:hAnsiTheme="minorHAnsi"/>
          <w:lang w:val="en-US"/>
        </w:rPr>
      </w:pPr>
      <w:bookmarkStart w:id="18" w:name="_Toc495387905"/>
      <w:r>
        <w:rPr>
          <w:rFonts w:cs="Calibri" w:ascii="Calibri" w:hAnsi="Calibri" w:asciiTheme="minorHAnsi" w:cstheme="minorHAnsi" w:hAnsiTheme="minorHAnsi"/>
          <w:lang w:val="en-US"/>
        </w:rPr>
        <w:t>4.4. Grade VII</w:t>
      </w:r>
      <w:bookmarkEnd w:id="18"/>
    </w:p>
    <w:p>
      <w:pPr>
        <w:pStyle w:val="Normal"/>
        <w:tabs>
          <w:tab w:val="clear" w:pos="708"/>
          <w:tab w:val="left" w:pos="1399" w:leader="none"/>
        </w:tabs>
        <w:spacing w:lineRule="auto" w:line="240" w:before="0" w:after="0"/>
        <w:jc w:val="both"/>
        <w:rPr>
          <w:b/>
          <w:b/>
          <w:color w:val="1F497D" w:themeColor="text2"/>
          <w:lang w:val="en-US"/>
        </w:rPr>
      </w:pPr>
      <w:r>
        <w:rPr>
          <w:b/>
          <w:color w:val="1F497D" w:themeColor="text2"/>
          <w:lang w:val="en-US"/>
        </w:rPr>
      </w:r>
    </w:p>
    <w:p>
      <w:pPr>
        <w:pStyle w:val="Normal"/>
        <w:tabs>
          <w:tab w:val="clear" w:pos="708"/>
          <w:tab w:val="left" w:pos="1399" w:leader="none"/>
        </w:tabs>
        <w:spacing w:lineRule="auto" w:line="240" w:before="0" w:after="0"/>
        <w:jc w:val="both"/>
        <w:rPr>
          <w:b/>
          <w:b/>
          <w:color w:val="1F497D" w:themeColor="text2"/>
          <w:lang w:val="en-US"/>
        </w:rPr>
      </w:pPr>
      <w:r>
        <w:rPr>
          <w:b/>
          <w:lang w:val="en-US"/>
        </w:rPr>
        <w:t xml:space="preserve">The general approach for the sevenths grade is assessed to be gender sensitive. </w:t>
      </w:r>
      <w:r>
        <w:rPr>
          <w:lang w:val="en-US"/>
        </w:rPr>
        <w:t xml:space="preserve">At the core of the REVOCC approach is to encourage both girls and boys to think critically about their professional paths, to think about outside factors that influence career options (lesson number 5), and think about various tradeoffs involved in career planning. </w:t>
      </w:r>
    </w:p>
    <w:p>
      <w:pPr>
        <w:pStyle w:val="Normal"/>
        <w:tabs>
          <w:tab w:val="clear" w:pos="708"/>
          <w:tab w:val="left" w:pos="1399" w:leader="none"/>
        </w:tabs>
        <w:spacing w:lineRule="auto" w:line="240" w:before="0" w:after="0"/>
        <w:jc w:val="both"/>
        <w:rPr>
          <w:b/>
          <w:b/>
          <w:color w:val="1F497D" w:themeColor="text2"/>
          <w:lang w:val="en-US"/>
        </w:rPr>
      </w:pPr>
      <w:r>
        <w:rPr>
          <w:b/>
          <w:color w:val="1F497D" w:themeColor="text2"/>
          <w:lang w:val="en-US"/>
        </w:rPr>
      </w:r>
    </w:p>
    <w:p>
      <w:pPr>
        <w:pStyle w:val="Normal"/>
        <w:tabs>
          <w:tab w:val="clear" w:pos="708"/>
          <w:tab w:val="left" w:pos="1399" w:leader="none"/>
        </w:tabs>
        <w:spacing w:lineRule="auto" w:line="240" w:before="0" w:after="0"/>
        <w:jc w:val="both"/>
        <w:rPr>
          <w:b/>
          <w:b/>
          <w:color w:val="1F497D" w:themeColor="text2"/>
          <w:lang w:val="en-US"/>
        </w:rPr>
      </w:pPr>
      <w:r>
        <w:rPr/>
        <w:drawing>
          <wp:inline distT="0" distB="0" distL="0" distR="0">
            <wp:extent cx="5240655" cy="2381250"/>
            <wp:effectExtent l="0" t="0" r="0" b="0"/>
            <wp:docPr id="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Normal"/>
        <w:tabs>
          <w:tab w:val="clear" w:pos="708"/>
          <w:tab w:val="left" w:pos="1399" w:leader="none"/>
        </w:tabs>
        <w:rPr>
          <w:i/>
          <w:i/>
          <w:sz w:val="20"/>
          <w:szCs w:val="20"/>
          <w:lang w:val="en-US"/>
        </w:rPr>
      </w:pPr>
      <w:r>
        <w:rPr>
          <w:i/>
          <w:color w:val="1F497D" w:themeColor="text2"/>
          <w:sz w:val="20"/>
          <w:szCs w:val="20"/>
          <w:lang w:val="en-US"/>
        </w:rPr>
        <w:t>Figure 11</w:t>
      </w:r>
      <w:r>
        <w:rPr>
          <w:i/>
          <w:sz w:val="20"/>
          <w:szCs w:val="20"/>
          <w:lang w:val="en-US"/>
        </w:rPr>
        <w:t>:</w:t>
      </w:r>
      <w:r>
        <w:rPr>
          <w:i/>
          <w:color w:val="1F497D" w:themeColor="text2"/>
          <w:sz w:val="20"/>
          <w:szCs w:val="20"/>
          <w:lang w:val="en-US"/>
        </w:rPr>
        <w:t xml:space="preserve"> Gender relevancy and gender mainstreaming score for the 7</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Normal"/>
        <w:tabs>
          <w:tab w:val="clear" w:pos="708"/>
          <w:tab w:val="left" w:pos="1399" w:leader="none"/>
        </w:tabs>
        <w:spacing w:lineRule="auto" w:line="240" w:before="0" w:after="0"/>
        <w:jc w:val="both"/>
        <w:rPr>
          <w:lang w:val="en-US"/>
        </w:rPr>
      </w:pPr>
      <w:r>
        <w:rPr>
          <w:b/>
          <w:lang w:val="en-US"/>
        </w:rPr>
        <w:t xml:space="preserve">The use of both female and male role models is encouraged. </w:t>
      </w:r>
      <w:r>
        <w:rPr>
          <w:lang w:val="en-US"/>
        </w:rPr>
        <w:t xml:space="preserve">One positive example is the case of lesson number 6, where the students are presented with both a female and male role models. It would be advised that teachers can assign students to study/interview men and women working in nontraditional settings. </w:t>
      </w:r>
    </w:p>
    <w:p>
      <w:pPr>
        <w:pStyle w:val="Normal"/>
        <w:tabs>
          <w:tab w:val="clear" w:pos="708"/>
          <w:tab w:val="left" w:pos="1399" w:leader="none"/>
        </w:tabs>
        <w:spacing w:lineRule="auto" w:line="240" w:before="0" w:after="0"/>
        <w:rPr>
          <w:i/>
          <w:i/>
          <w:sz w:val="20"/>
          <w:szCs w:val="20"/>
          <w:lang w:val="en-US"/>
        </w:rPr>
      </w:pPr>
      <w:r>
        <w:rPr>
          <w:i/>
          <w:sz w:val="20"/>
          <w:szCs w:val="20"/>
          <w:lang w:val="en-US"/>
        </w:rPr>
      </w:r>
    </w:p>
    <w:p>
      <w:pPr>
        <w:pStyle w:val="Normal"/>
        <w:tabs>
          <w:tab w:val="clear" w:pos="708"/>
          <w:tab w:val="left" w:pos="1399" w:leader="none"/>
        </w:tabs>
        <w:spacing w:lineRule="auto" w:line="240" w:before="0" w:after="0"/>
        <w:rPr>
          <w:b/>
          <w:b/>
          <w:color w:val="1F497D" w:themeColor="text2"/>
          <w:lang w:val="en-US"/>
        </w:rPr>
      </w:pPr>
      <w:r>
        <w:rPr>
          <w:b/>
          <w:color w:val="1F497D" w:themeColor="text2"/>
          <w:lang w:val="en-US"/>
        </w:rPr>
      </w:r>
    </w:p>
    <w:p>
      <w:pPr>
        <w:pStyle w:val="Heading2"/>
        <w:spacing w:before="0" w:after="200"/>
        <w:rPr>
          <w:rFonts w:ascii="Calibri" w:hAnsi="Calibri" w:cs="Calibri" w:asciiTheme="minorHAnsi" w:cstheme="minorHAnsi" w:hAnsiTheme="minorHAnsi"/>
          <w:lang w:val="en-US"/>
        </w:rPr>
      </w:pPr>
      <w:bookmarkStart w:id="19" w:name="_Toc495387906"/>
      <w:r>
        <w:rPr>
          <w:rFonts w:cs="Calibri" w:ascii="Calibri" w:hAnsi="Calibri" w:asciiTheme="minorHAnsi" w:cstheme="minorHAnsi" w:hAnsiTheme="minorHAnsi"/>
          <w:lang w:val="en-US"/>
        </w:rPr>
        <w:t>4.5. Grade VIII</w:t>
      </w:r>
      <w:bookmarkEnd w:id="19"/>
    </w:p>
    <w:p>
      <w:pPr>
        <w:pStyle w:val="Normal"/>
        <w:tabs>
          <w:tab w:val="clear" w:pos="708"/>
          <w:tab w:val="left" w:pos="1399" w:leader="none"/>
        </w:tabs>
        <w:spacing w:lineRule="auto" w:line="240" w:before="0" w:after="0"/>
        <w:rPr>
          <w:b/>
          <w:b/>
          <w:color w:val="1F497D" w:themeColor="text2"/>
          <w:lang w:val="en-US"/>
        </w:rPr>
      </w:pPr>
      <w:r>
        <w:rPr>
          <w:b/>
          <w:color w:val="1F497D" w:themeColor="text2"/>
          <w:lang w:val="en-US"/>
        </w:rPr>
      </w:r>
    </w:p>
    <w:p>
      <w:pPr>
        <w:pStyle w:val="Normal"/>
        <w:tabs>
          <w:tab w:val="clear" w:pos="708"/>
          <w:tab w:val="left" w:pos="1399" w:leader="none"/>
        </w:tabs>
        <w:spacing w:lineRule="auto" w:line="240" w:before="0" w:after="0"/>
        <w:rPr>
          <w:lang w:val="en-US"/>
        </w:rPr>
      </w:pPr>
      <w:r>
        <w:rPr>
          <w:b/>
          <w:lang w:val="en-US"/>
        </w:rPr>
        <w:t xml:space="preserve">General approach is assessed to be gender sensitive. </w:t>
      </w:r>
      <w:r>
        <w:rPr>
          <w:lang w:val="en-US"/>
        </w:rPr>
        <w:t xml:space="preserve">Consistent with the approach in the previous grades, namely an approach to help each boy and girl student to asses’ own capacities and personal traits in deciding on career path. </w:t>
      </w:r>
    </w:p>
    <w:p>
      <w:pPr>
        <w:pStyle w:val="Normal"/>
        <w:tabs>
          <w:tab w:val="clear" w:pos="708"/>
          <w:tab w:val="left" w:pos="1399" w:leader="none"/>
        </w:tabs>
        <w:spacing w:lineRule="auto" w:line="240" w:before="0" w:after="0"/>
        <w:rPr>
          <w:b/>
          <w:b/>
          <w:color w:val="1F497D" w:themeColor="text2"/>
          <w:lang w:val="en-US"/>
        </w:rPr>
      </w:pPr>
      <w:r>
        <w:rPr>
          <w:b/>
          <w:color w:val="1F497D" w:themeColor="text2"/>
          <w:lang w:val="en-US"/>
        </w:rPr>
      </w:r>
    </w:p>
    <w:p>
      <w:pPr>
        <w:pStyle w:val="Normal"/>
        <w:tabs>
          <w:tab w:val="clear" w:pos="708"/>
          <w:tab w:val="left" w:pos="1399" w:leader="none"/>
        </w:tabs>
        <w:spacing w:lineRule="auto" w:line="240" w:before="0" w:after="0"/>
        <w:rPr>
          <w:b/>
          <w:b/>
          <w:color w:val="1F497D" w:themeColor="text2"/>
          <w:lang w:val="en-US"/>
        </w:rPr>
      </w:pPr>
      <w:r>
        <w:rPr/>
        <w:drawing>
          <wp:inline distT="0" distB="0" distL="0" distR="0">
            <wp:extent cx="5347970" cy="2277110"/>
            <wp:effectExtent l="0" t="0" r="0" b="0"/>
            <wp:docPr id="1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rmal"/>
        <w:tabs>
          <w:tab w:val="clear" w:pos="708"/>
          <w:tab w:val="left" w:pos="1399" w:leader="none"/>
        </w:tabs>
        <w:rPr>
          <w:i/>
          <w:i/>
          <w:sz w:val="20"/>
          <w:szCs w:val="20"/>
          <w:lang w:val="en-US"/>
        </w:rPr>
      </w:pPr>
      <w:r>
        <w:rPr>
          <w:i/>
          <w:color w:val="1F497D" w:themeColor="text2"/>
          <w:sz w:val="20"/>
          <w:szCs w:val="20"/>
          <w:lang w:val="en-US"/>
        </w:rPr>
        <w:t>Figure 12: Gender relevancy and gender mainstreaming score for the 8</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Normal"/>
        <w:tabs>
          <w:tab w:val="clear" w:pos="708"/>
          <w:tab w:val="left" w:pos="1399" w:leader="none"/>
        </w:tabs>
        <w:spacing w:lineRule="auto" w:line="240" w:before="0" w:after="0"/>
        <w:jc w:val="both"/>
        <w:rPr>
          <w:lang w:val="en-US"/>
        </w:rPr>
      </w:pPr>
      <w:r>
        <w:rPr>
          <w:b/>
          <w:lang w:val="en-US"/>
        </w:rPr>
        <w:t xml:space="preserve">The use of various personality and capacity tests is a good approach to encourage students to decide on a merit base career path. </w:t>
      </w:r>
      <w:r>
        <w:rPr>
          <w:lang w:val="en-US"/>
        </w:rPr>
        <w:t xml:space="preserve">The use of multiple tests is a way for the students to discover themselves and develop solid reasons on how to approach career development. Teachers would be advised to analyze any patterns in the way boys and girls respond and choose potential personality traits and jobs. If such tendencies exist, these should be debated critically so to help boys and girls’ students to be more aware of them. </w:t>
      </w:r>
    </w:p>
    <w:p>
      <w:pPr>
        <w:pStyle w:val="Normal"/>
        <w:tabs>
          <w:tab w:val="clear" w:pos="708"/>
          <w:tab w:val="left" w:pos="1399" w:leader="none"/>
        </w:tabs>
        <w:spacing w:lineRule="auto" w:line="240" w:before="0" w:after="0"/>
        <w:jc w:val="both"/>
        <w:rPr>
          <w:lang w:val="en-US"/>
        </w:rPr>
      </w:pPr>
      <w:r>
        <w:rPr>
          <w:lang w:val="en-US"/>
        </w:rPr>
      </w:r>
    </w:p>
    <w:p>
      <w:pPr>
        <w:pStyle w:val="Heading2"/>
        <w:spacing w:lineRule="auto" w:line="240" w:before="0" w:after="200"/>
        <w:rPr>
          <w:rFonts w:ascii="Calibri" w:hAnsi="Calibri" w:cs="Calibri" w:asciiTheme="minorHAnsi" w:cstheme="minorHAnsi" w:hAnsiTheme="minorHAnsi"/>
          <w:lang w:val="en-US"/>
        </w:rPr>
      </w:pPr>
      <w:bookmarkStart w:id="20" w:name="_Toc495387907"/>
      <w:r>
        <w:rPr>
          <w:rFonts w:cs="Calibri" w:ascii="Calibri" w:hAnsi="Calibri" w:asciiTheme="minorHAnsi" w:cstheme="minorHAnsi" w:hAnsiTheme="minorHAnsi"/>
          <w:lang w:val="en-US"/>
        </w:rPr>
        <w:t>4.6. Grade IX</w:t>
      </w:r>
      <w:bookmarkEnd w:id="20"/>
    </w:p>
    <w:p>
      <w:pPr>
        <w:pStyle w:val="Normal"/>
        <w:tabs>
          <w:tab w:val="clear" w:pos="708"/>
          <w:tab w:val="left" w:pos="1399" w:leader="none"/>
        </w:tabs>
        <w:spacing w:lineRule="auto" w:line="240" w:before="0" w:after="0"/>
        <w:jc w:val="both"/>
        <w:rPr>
          <w:b/>
          <w:b/>
          <w:color w:val="1F497D" w:themeColor="text2"/>
          <w:lang w:val="en-US"/>
        </w:rPr>
      </w:pPr>
      <w:r>
        <w:rPr>
          <w:b/>
          <w:color w:val="1F497D" w:themeColor="text2"/>
          <w:lang w:val="en-US"/>
        </w:rPr>
      </w:r>
    </w:p>
    <w:p>
      <w:pPr>
        <w:pStyle w:val="Normal"/>
        <w:tabs>
          <w:tab w:val="clear" w:pos="708"/>
          <w:tab w:val="left" w:pos="1399" w:leader="none"/>
        </w:tabs>
        <w:spacing w:lineRule="auto" w:line="240" w:before="0" w:after="0"/>
        <w:jc w:val="both"/>
        <w:rPr>
          <w:color w:val="000000" w:themeColor="text1"/>
          <w:lang w:val="en-US"/>
        </w:rPr>
      </w:pPr>
      <w:r>
        <w:rPr>
          <w:b/>
          <w:color w:val="000000" w:themeColor="text1"/>
          <w:lang w:val="en-US"/>
        </w:rPr>
        <w:t xml:space="preserve">General approach is gender sensitive. </w:t>
      </w:r>
      <w:r>
        <w:rPr>
          <w:color w:val="000000" w:themeColor="text1"/>
          <w:lang w:val="en-US"/>
        </w:rPr>
        <w:t>The approach in the fifth lesson is very appropriate. The data shows that most of the informal work is done by young boys with incomplete education. Focusing the lesson on legal rights of the underage workers will primarily benefit this group.</w:t>
      </w:r>
    </w:p>
    <w:p>
      <w:pPr>
        <w:pStyle w:val="Normal"/>
        <w:tabs>
          <w:tab w:val="clear" w:pos="708"/>
          <w:tab w:val="left" w:pos="1399" w:leader="none"/>
        </w:tabs>
        <w:spacing w:lineRule="auto" w:line="240" w:before="0" w:after="0"/>
        <w:jc w:val="both"/>
        <w:rPr>
          <w:b/>
          <w:b/>
          <w:color w:val="1F497D" w:themeColor="text2"/>
          <w:lang w:val="en-US"/>
        </w:rPr>
      </w:pPr>
      <w:r>
        <w:rPr>
          <w:b/>
          <w:color w:val="1F497D" w:themeColor="text2"/>
          <w:lang w:val="en-US"/>
        </w:rPr>
      </w:r>
    </w:p>
    <w:p>
      <w:pPr>
        <w:pStyle w:val="Normal"/>
        <w:tabs>
          <w:tab w:val="clear" w:pos="708"/>
          <w:tab w:val="left" w:pos="1399" w:leader="none"/>
        </w:tabs>
        <w:spacing w:lineRule="auto" w:line="240" w:before="0" w:after="0"/>
        <w:jc w:val="both"/>
        <w:rPr>
          <w:b/>
          <w:b/>
          <w:color w:val="1F497D" w:themeColor="text2"/>
          <w:lang w:val="en-US"/>
        </w:rPr>
      </w:pPr>
      <w:r>
        <w:rPr/>
        <w:drawing>
          <wp:inline distT="0" distB="0" distL="0" distR="0">
            <wp:extent cx="5524500" cy="2216785"/>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Normal"/>
        <w:tabs>
          <w:tab w:val="clear" w:pos="708"/>
          <w:tab w:val="left" w:pos="2568" w:leader="none"/>
        </w:tabs>
        <w:rPr>
          <w:i/>
          <w:i/>
          <w:sz w:val="20"/>
          <w:szCs w:val="20"/>
          <w:lang w:val="en-US"/>
        </w:rPr>
      </w:pPr>
      <w:r>
        <w:rPr>
          <w:i/>
          <w:color w:val="1F497D" w:themeColor="text2"/>
          <w:sz w:val="20"/>
          <w:szCs w:val="20"/>
          <w:lang w:val="en-US"/>
        </w:rPr>
        <w:t>Figure 13: Gender relevancy and gender mainstreaming score for the 9</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Normal"/>
        <w:tabs>
          <w:tab w:val="clear" w:pos="708"/>
          <w:tab w:val="left" w:pos="1399" w:leader="none"/>
        </w:tabs>
        <w:spacing w:lineRule="auto" w:line="240" w:before="0" w:after="0"/>
        <w:jc w:val="both"/>
        <w:rPr>
          <w:color w:val="000000" w:themeColor="text1"/>
          <w:lang w:val="en-US"/>
        </w:rPr>
      </w:pPr>
      <w:r>
        <w:rPr>
          <w:b/>
          <w:color w:val="000000" w:themeColor="text1"/>
          <w:lang w:val="en-US"/>
        </w:rPr>
        <w:t>In the second lesson, a case study is presented,</w:t>
      </w:r>
      <w:r>
        <w:rPr>
          <w:color w:val="000000" w:themeColor="text1"/>
          <w:lang w:val="en-US"/>
        </w:rPr>
        <w:t xml:space="preserve"> where by Andrei and Galina are given seemingly traditional gender traits and students are asked to assess the weak and strong points for each one of them in pursuing a career in IT sector. It was not clear what exactly students should learn from this exercise taking in to account that this sector is perceived to be male dominated and based on the exercise inputs it seems that the students can reach the conclusion that the girls from the exercise is not suited for a career in this sector. </w:t>
      </w:r>
    </w:p>
    <w:p>
      <w:pPr>
        <w:pStyle w:val="Normal"/>
        <w:tabs>
          <w:tab w:val="clear" w:pos="708"/>
          <w:tab w:val="left" w:pos="2568" w:leader="none"/>
        </w:tabs>
        <w:spacing w:lineRule="auto" w:line="240" w:before="0" w:after="0"/>
        <w:rPr>
          <w:b/>
          <w:b/>
          <w:lang w:val="en-US"/>
        </w:rPr>
      </w:pPr>
      <w:r>
        <w:rPr>
          <w:b/>
          <w:lang w:val="en-US"/>
        </w:rPr>
      </w:r>
    </w:p>
    <w:p>
      <w:pPr>
        <w:pStyle w:val="Heading2"/>
        <w:spacing w:before="0" w:after="200"/>
        <w:rPr>
          <w:rFonts w:ascii="Calibri" w:hAnsi="Calibri" w:cs="Calibri" w:asciiTheme="minorHAnsi" w:cstheme="minorHAnsi" w:hAnsiTheme="minorHAnsi"/>
          <w:lang w:val="en-US"/>
        </w:rPr>
      </w:pPr>
      <w:bookmarkStart w:id="21" w:name="_Toc495387908"/>
      <w:r>
        <w:rPr>
          <w:rFonts w:cs="Calibri" w:ascii="Calibri" w:hAnsi="Calibri" w:asciiTheme="minorHAnsi" w:cstheme="minorHAnsi" w:hAnsiTheme="minorHAnsi"/>
          <w:lang w:val="en-US"/>
        </w:rPr>
        <w:t>4.7. Grade X</w:t>
      </w:r>
      <w:bookmarkEnd w:id="21"/>
    </w:p>
    <w:p>
      <w:pPr>
        <w:pStyle w:val="Normal"/>
        <w:tabs>
          <w:tab w:val="clear" w:pos="708"/>
          <w:tab w:val="left" w:pos="2568" w:leader="none"/>
        </w:tabs>
        <w:spacing w:lineRule="auto" w:line="240" w:before="0" w:after="0"/>
        <w:rPr>
          <w:b/>
          <w:b/>
          <w:color w:val="1F497D" w:themeColor="text2"/>
          <w:lang w:val="en-US"/>
        </w:rPr>
      </w:pPr>
      <w:r>
        <w:rPr>
          <w:b/>
          <w:color w:val="1F497D" w:themeColor="text2"/>
          <w:lang w:val="en-US"/>
        </w:rPr>
      </w:r>
    </w:p>
    <w:p>
      <w:pPr>
        <w:pStyle w:val="Normal"/>
        <w:tabs>
          <w:tab w:val="clear" w:pos="708"/>
          <w:tab w:val="left" w:pos="2568" w:leader="none"/>
        </w:tabs>
        <w:spacing w:lineRule="auto" w:line="240" w:before="0" w:after="0"/>
        <w:jc w:val="both"/>
        <w:rPr>
          <w:lang w:val="en-US"/>
        </w:rPr>
      </w:pPr>
      <w:r>
        <w:rPr>
          <w:b/>
          <w:lang w:val="en-US"/>
        </w:rPr>
        <w:t xml:space="preserve">General approach is proportional with the level of gender relevancy. </w:t>
      </w:r>
      <w:r>
        <w:rPr>
          <w:lang w:val="en-US"/>
        </w:rPr>
        <w:t xml:space="preserve">The most significant gap in terms of gender relevancy and gender mainstreaming was identified in for the second lesson within this cycle.  The lesson introduces the students with the national education system, advantages and disadvantages it can bring as to help the students better choose. The students would have benefited to learn about gender preferences for professions and type of education in Moldova (as presented in the first part of the report). The students could have been encouraged to debate in a critical way why such a gender preference exists and why this reflects on their personal choice. </w:t>
      </w:r>
    </w:p>
    <w:p>
      <w:pPr>
        <w:pStyle w:val="Normal"/>
        <w:tabs>
          <w:tab w:val="clear" w:pos="708"/>
          <w:tab w:val="left" w:pos="2568" w:leader="none"/>
        </w:tabs>
        <w:spacing w:lineRule="auto" w:line="240" w:before="0" w:after="0"/>
        <w:rPr>
          <w:b/>
          <w:b/>
          <w:color w:val="1F497D" w:themeColor="text2"/>
          <w:lang w:val="en-US"/>
        </w:rPr>
      </w:pPr>
      <w:r>
        <w:rPr>
          <w:b/>
          <w:color w:val="1F497D" w:themeColor="text2"/>
          <w:lang w:val="en-US"/>
        </w:rPr>
        <w:drawing>
          <wp:inline distT="0" distB="0" distL="0" distR="0">
            <wp:extent cx="5263515" cy="2113280"/>
            <wp:effectExtent l="0" t="0" r="0" b="0"/>
            <wp:docPr id="2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Normal"/>
        <w:tabs>
          <w:tab w:val="clear" w:pos="708"/>
          <w:tab w:val="left" w:pos="2568" w:leader="none"/>
        </w:tabs>
        <w:spacing w:lineRule="auto" w:line="240" w:before="0" w:after="0"/>
        <w:rPr>
          <w:b/>
          <w:b/>
          <w:color w:val="1F497D" w:themeColor="text2"/>
          <w:lang w:val="en-US"/>
        </w:rPr>
      </w:pPr>
      <w:r>
        <w:rPr>
          <w:b/>
          <w:color w:val="1F497D" w:themeColor="text2"/>
          <w:lang w:val="en-US"/>
        </w:rPr>
      </w:r>
    </w:p>
    <w:p>
      <w:pPr>
        <w:pStyle w:val="Normal"/>
        <w:rPr>
          <w:lang w:val="en-US"/>
        </w:rPr>
      </w:pPr>
      <w:r>
        <w:rPr>
          <w:lang w:val="en-US"/>
        </w:rPr>
      </w:r>
    </w:p>
    <w:p>
      <w:pPr>
        <w:pStyle w:val="Normal"/>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jc w:val="center"/>
        <w:rPr>
          <w:lang w:val="en-US"/>
        </w:rPr>
      </w:pPr>
      <w:r>
        <w:rPr>
          <w:lang w:val="en-US"/>
        </w:rPr>
      </w:r>
    </w:p>
    <w:p>
      <w:pPr>
        <w:pStyle w:val="Normal"/>
        <w:spacing w:lineRule="auto" w:line="240" w:before="0" w:after="0"/>
        <w:jc w:val="center"/>
        <w:rPr>
          <w:lang w:val="en-US"/>
        </w:rPr>
      </w:pPr>
      <w:r>
        <w:rPr>
          <w:lang w:val="en-US"/>
        </w:rPr>
      </w:r>
    </w:p>
    <w:p>
      <w:pPr>
        <w:pStyle w:val="Normal"/>
        <w:spacing w:lineRule="auto" w:line="240" w:before="0" w:after="0"/>
        <w:rPr>
          <w:lang w:val="en-US"/>
        </w:rPr>
      </w:pPr>
      <w:r>
        <w:rPr>
          <w:lang w:val="en-US"/>
        </w:rPr>
      </w:r>
    </w:p>
    <w:p>
      <w:pPr>
        <w:pStyle w:val="Normal"/>
        <w:spacing w:lineRule="auto" w:line="240" w:before="0" w:after="0"/>
        <w:rPr>
          <w:i/>
          <w:i/>
          <w:sz w:val="20"/>
          <w:szCs w:val="20"/>
          <w:lang w:val="en-US"/>
        </w:rPr>
      </w:pPr>
      <w:r>
        <w:rPr>
          <w:i/>
          <w:color w:val="1F497D" w:themeColor="text2"/>
          <w:sz w:val="20"/>
          <w:szCs w:val="20"/>
          <w:lang w:val="en-US"/>
        </w:rPr>
        <w:t>Figure 14:</w:t>
      </w:r>
      <w:r>
        <w:rPr>
          <w:i/>
          <w:sz w:val="20"/>
          <w:szCs w:val="20"/>
          <w:lang w:val="en-US"/>
        </w:rPr>
        <w:t xml:space="preserve"> </w:t>
      </w:r>
      <w:r>
        <w:rPr>
          <w:i/>
          <w:color w:val="1F497D" w:themeColor="text2"/>
          <w:sz w:val="20"/>
          <w:szCs w:val="20"/>
          <w:lang w:val="en-US"/>
        </w:rPr>
        <w:t>Gender relevancy and gender mainstreaming score for the 10</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Heading2"/>
        <w:rPr>
          <w:rFonts w:ascii="Calibri" w:hAnsi="Calibri" w:cs="Calibri" w:asciiTheme="minorHAnsi" w:cstheme="minorHAnsi" w:hAnsiTheme="minorHAnsi"/>
          <w:lang w:val="en-US"/>
        </w:rPr>
      </w:pPr>
      <w:bookmarkStart w:id="22" w:name="_Toc495387909"/>
      <w:r>
        <w:rPr>
          <w:rFonts w:cs="Calibri" w:ascii="Calibri" w:hAnsi="Calibri" w:asciiTheme="minorHAnsi" w:cstheme="minorHAnsi" w:hAnsiTheme="minorHAnsi"/>
          <w:lang w:val="en-US"/>
        </w:rPr>
        <w:t>4.8. Grade XI</w:t>
      </w:r>
      <w:bookmarkEnd w:id="22"/>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jc w:val="both"/>
        <w:rPr>
          <w:lang w:val="en-US"/>
        </w:rPr>
      </w:pPr>
      <w:r>
        <w:rPr>
          <w:b/>
          <w:lang w:val="en-US"/>
        </w:rPr>
        <w:t xml:space="preserve">Gender gap (difference between gender relevancy and gender mainstreaming score) is a bit more significant for this cycle as compared to the other grades in the program. </w:t>
      </w:r>
      <w:r>
        <w:rPr>
          <w:lang w:val="en-US"/>
        </w:rPr>
        <w:t xml:space="preserve">In the sixth lesson the students are introduced to the most effective ways communicating with potential employers. Relevant advice is given on how to negotiate financial remuneration for example. However, the students, especially female students, would have also benefited if they would have been provided with practical advice on how to deal with potential discriminatory situations: (i) how to recognize such a situation, (ii) what are the basic rights and (iii) how to proceed in such situations. In similar fashion, the seventh lesson could have been complemented on practical advice with regards to conflict resolution and potential cases of sexual harassment cases. </w:t>
      </w:r>
    </w:p>
    <w:p>
      <w:pPr>
        <w:pStyle w:val="Normal"/>
        <w:spacing w:lineRule="auto" w:line="240" w:before="0" w:after="0"/>
        <w:rPr>
          <w:b/>
          <w:b/>
          <w:color w:val="1F497D" w:themeColor="text2"/>
          <w:lang w:val="en-US"/>
        </w:rPr>
      </w:pPr>
      <w:r>
        <w:rPr>
          <w:b/>
          <w:color w:val="1F497D" w:themeColor="text2"/>
          <w:lang w:val="en-US"/>
        </w:rPr>
      </w:r>
    </w:p>
    <w:p>
      <w:pPr>
        <w:pStyle w:val="Normal"/>
        <w:spacing w:lineRule="auto" w:line="240" w:before="0" w:after="0"/>
        <w:rPr>
          <w:b/>
          <w:b/>
          <w:color w:val="1F497D" w:themeColor="text2"/>
          <w:lang w:val="en-US"/>
        </w:rPr>
      </w:pPr>
      <w:r>
        <w:rPr/>
        <w:drawing>
          <wp:inline distT="0" distB="0" distL="0" distR="0">
            <wp:extent cx="6010275" cy="2139315"/>
            <wp:effectExtent l="0" t="0" r="0" b="0"/>
            <wp:docPr id="2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Normal"/>
        <w:rPr>
          <w:i/>
          <w:i/>
          <w:sz w:val="20"/>
          <w:szCs w:val="20"/>
          <w:lang w:val="en-US"/>
        </w:rPr>
      </w:pPr>
      <w:r>
        <w:rPr>
          <w:i/>
          <w:color w:val="1F497D" w:themeColor="text2"/>
          <w:sz w:val="20"/>
          <w:szCs w:val="20"/>
          <w:lang w:val="en-US"/>
        </w:rPr>
        <w:t>Figure 15: Gender relevancy and gender mainstreaming score for the 11</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Heading2"/>
        <w:spacing w:lineRule="auto" w:line="240" w:before="0" w:after="200"/>
        <w:rPr>
          <w:rFonts w:ascii="Calibri" w:hAnsi="Calibri" w:cs="Calibri" w:asciiTheme="minorHAnsi" w:cstheme="minorHAnsi" w:hAnsiTheme="minorHAnsi"/>
          <w:lang w:val="en-US"/>
        </w:rPr>
      </w:pPr>
      <w:bookmarkStart w:id="23" w:name="_Toc495387910"/>
      <w:r>
        <w:rPr>
          <w:rFonts w:cs="Calibri" w:ascii="Calibri" w:hAnsi="Calibri" w:asciiTheme="minorHAnsi" w:cstheme="minorHAnsi" w:hAnsiTheme="minorHAnsi"/>
          <w:lang w:val="en-US"/>
        </w:rPr>
        <w:t>4.9. Grade XII</w:t>
      </w:r>
      <w:bookmarkEnd w:id="23"/>
    </w:p>
    <w:p>
      <w:pPr>
        <w:pStyle w:val="Normal"/>
        <w:spacing w:lineRule="auto" w:line="240" w:before="0" w:after="0"/>
        <w:rPr>
          <w:lang w:val="en-US"/>
        </w:rPr>
      </w:pPr>
      <w:r>
        <w:rPr>
          <w:lang w:val="en-US"/>
        </w:rPr>
      </w:r>
    </w:p>
    <w:p>
      <w:pPr>
        <w:pStyle w:val="Normal"/>
        <w:spacing w:lineRule="auto" w:line="240" w:before="0" w:after="0"/>
        <w:jc w:val="both"/>
        <w:rPr>
          <w:lang w:val="en-US"/>
        </w:rPr>
      </w:pPr>
      <w:r>
        <w:rPr>
          <w:b/>
          <w:lang w:val="en-US"/>
        </w:rPr>
        <w:t>Consistent with overall approach, the materials developed for the 12</w:t>
      </w:r>
      <w:r>
        <w:rPr>
          <w:b/>
          <w:vertAlign w:val="superscript"/>
          <w:lang w:val="en-US"/>
        </w:rPr>
        <w:t>th</w:t>
      </w:r>
      <w:r>
        <w:rPr>
          <w:b/>
          <w:lang w:val="en-US"/>
        </w:rPr>
        <w:t xml:space="preserve"> grade are assessed to be gender sensitive. </w:t>
      </w:r>
      <w:r>
        <w:rPr>
          <w:lang w:val="en-US"/>
        </w:rPr>
        <w:t xml:space="preserve">The fifth lessons introduce the topic of mass-media as a tool for students to look for a job but also to educate themselves about eh labor market and working life in general. It also notes that one should be critical in assessing media stories including from gender equality perspective. Most of the times media has a gendered way in with it portrays the working men and women and students should be aware of that. The sixth lesson could have benefited from the giving students (especially girls) tips on how to assess if the potential employer is asking discriminatory questions with regards to one’s personal life and family situation. </w:t>
      </w:r>
    </w:p>
    <w:p>
      <w:pPr>
        <w:pStyle w:val="Normal"/>
        <w:spacing w:lineRule="auto" w:line="240" w:before="0" w:after="0"/>
        <w:rPr>
          <w:b/>
          <w:b/>
          <w:lang w:val="en-US"/>
        </w:rPr>
      </w:pPr>
      <w:r>
        <w:rPr>
          <w:b/>
          <w:lang w:val="en-US"/>
        </w:rPr>
      </w:r>
    </w:p>
    <w:p>
      <w:pPr>
        <w:pStyle w:val="Normal"/>
        <w:spacing w:lineRule="auto" w:line="240" w:before="0" w:after="0"/>
        <w:rPr>
          <w:b/>
          <w:b/>
          <w:color w:val="1F497D" w:themeColor="text2"/>
          <w:lang w:val="en-US"/>
        </w:rPr>
      </w:pPr>
      <w:r>
        <w:rPr/>
        <w:drawing>
          <wp:inline distT="0" distB="0" distL="0" distR="0">
            <wp:extent cx="5998210" cy="2156460"/>
            <wp:effectExtent l="0" t="0" r="0" b="0"/>
            <wp:docPr id="2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Normal"/>
        <w:spacing w:lineRule="auto" w:line="240" w:before="0" w:after="0"/>
        <w:rPr>
          <w:i/>
          <w:i/>
          <w:sz w:val="20"/>
          <w:szCs w:val="20"/>
          <w:lang w:val="en-US"/>
        </w:rPr>
      </w:pPr>
      <w:r>
        <w:rPr>
          <w:i/>
          <w:color w:val="1F497D" w:themeColor="text2"/>
          <w:sz w:val="20"/>
          <w:szCs w:val="20"/>
          <w:lang w:val="en-US"/>
        </w:rPr>
        <w:t>Figure 16:</w:t>
      </w:r>
      <w:r>
        <w:rPr>
          <w:i/>
          <w:sz w:val="20"/>
          <w:szCs w:val="20"/>
          <w:lang w:val="en-US"/>
        </w:rPr>
        <w:t xml:space="preserve"> </w:t>
      </w:r>
      <w:r>
        <w:rPr>
          <w:i/>
          <w:color w:val="1F497D" w:themeColor="text2"/>
          <w:sz w:val="20"/>
          <w:szCs w:val="20"/>
          <w:lang w:val="en-US"/>
        </w:rPr>
        <w:t>Gender relevancy and gender mainstreaming score for the 12</w:t>
      </w:r>
      <w:r>
        <w:rPr>
          <w:i/>
          <w:color w:val="1F497D" w:themeColor="text2"/>
          <w:sz w:val="20"/>
          <w:szCs w:val="20"/>
          <w:vertAlign w:val="superscript"/>
          <w:lang w:val="en-US"/>
        </w:rPr>
        <w:t>th</w:t>
      </w:r>
      <w:r>
        <w:rPr>
          <w:i/>
          <w:color w:val="1F497D" w:themeColor="text2"/>
          <w:sz w:val="20"/>
          <w:szCs w:val="20"/>
          <w:lang w:val="en-US"/>
        </w:rPr>
        <w:t xml:space="preserve"> grade materials</w:t>
      </w:r>
    </w:p>
    <w:p>
      <w:pPr>
        <w:pStyle w:val="Heading2"/>
        <w:rPr>
          <w:rFonts w:ascii="Calibri" w:hAnsi="Calibri" w:cs="Calibri" w:asciiTheme="minorHAnsi" w:cstheme="minorHAnsi" w:hAnsiTheme="minorHAnsi"/>
          <w:lang w:val="en-US"/>
        </w:rPr>
      </w:pPr>
      <w:bookmarkStart w:id="24" w:name="_Toc495387911"/>
      <w:r>
        <w:rPr>
          <w:rFonts w:cs="Calibri" w:ascii="Calibri" w:hAnsi="Calibri" w:asciiTheme="minorHAnsi" w:cstheme="minorHAnsi" w:hAnsiTheme="minorHAnsi"/>
          <w:lang w:val="en-US"/>
        </w:rPr>
        <w:t>4.10. Professional schools’ postsecondary education</w:t>
      </w:r>
      <w:bookmarkEnd w:id="24"/>
      <w:r>
        <w:rPr>
          <w:rFonts w:cs="Calibri" w:ascii="Calibri" w:hAnsi="Calibri" w:asciiTheme="minorHAnsi" w:cstheme="minorHAnsi" w:hAnsiTheme="minorHAnsi"/>
          <w:lang w:val="en-US"/>
        </w:rPr>
        <w:t xml:space="preserve"> </w:t>
      </w:r>
    </w:p>
    <w:p>
      <w:pPr>
        <w:pStyle w:val="Normal"/>
        <w:spacing w:lineRule="auto" w:line="240" w:before="0" w:after="0"/>
        <w:jc w:val="both"/>
        <w:rPr>
          <w:b/>
          <w:b/>
          <w:lang w:val="en-US"/>
        </w:rPr>
      </w:pPr>
      <w:r>
        <w:rPr>
          <w:b/>
          <w:lang w:val="en-US"/>
        </w:rPr>
      </w:r>
    </w:p>
    <w:p>
      <w:pPr>
        <w:pStyle w:val="Normal"/>
        <w:spacing w:lineRule="auto" w:line="240" w:before="0" w:after="0"/>
        <w:jc w:val="both"/>
        <w:rPr>
          <w:lang w:val="en-US"/>
        </w:rPr>
      </w:pPr>
      <w:r>
        <w:rPr>
          <w:b/>
          <w:lang w:val="en-US"/>
        </w:rPr>
        <w:t xml:space="preserve">Materials are assessed to be gender sensitive. </w:t>
      </w:r>
      <w:r>
        <w:rPr>
          <w:lang w:val="en-US"/>
        </w:rPr>
        <w:t xml:space="preserve">The sixth lesson introduces the topic of labor rights including the rights of persons with disabilities in the labor market. The topic could be expanded to include more specific information on gender discrimination in labor market, highlighting illustrative cases from the equality council of Moldova. As mentioned above the eighth lesson could have benefited from the giving students (especially girls) tips on how to assess if the potential employer is asking discriminatory questions with regards to one’s personal life and family situation.  </w:t>
      </w:r>
    </w:p>
    <w:p>
      <w:pPr>
        <w:pStyle w:val="Normal"/>
        <w:spacing w:lineRule="auto" w:line="240" w:before="0" w:after="0"/>
        <w:jc w:val="both"/>
        <w:rPr>
          <w:lang w:val="en-US"/>
        </w:rPr>
      </w:pPr>
      <w:r>
        <w:rPr>
          <w:lang w:val="en-US"/>
        </w:rPr>
      </w:r>
    </w:p>
    <w:p>
      <w:pPr>
        <w:pStyle w:val="Normal"/>
        <w:spacing w:lineRule="auto" w:line="240" w:before="0" w:after="0"/>
        <w:rPr>
          <w:b/>
          <w:b/>
          <w:i/>
          <w:i/>
          <w:color w:val="1F497D" w:themeColor="text2"/>
          <w:lang w:val="en-US"/>
        </w:rPr>
      </w:pPr>
      <w:r>
        <w:rPr/>
        <w:drawing>
          <wp:inline distT="0" distB="0" distL="0" distR="0">
            <wp:extent cx="5756275" cy="2440940"/>
            <wp:effectExtent l="0" t="0" r="0" b="0"/>
            <wp:docPr id="2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Normal"/>
        <w:rPr>
          <w:i/>
          <w:i/>
          <w:sz w:val="20"/>
          <w:szCs w:val="20"/>
          <w:lang w:val="en-US"/>
        </w:rPr>
      </w:pPr>
      <w:r>
        <w:rPr>
          <w:i/>
          <w:color w:val="1F497D" w:themeColor="text2"/>
          <w:sz w:val="20"/>
          <w:szCs w:val="20"/>
          <w:lang w:val="en-US"/>
        </w:rPr>
        <w:t>Figure 17: Gender relevancy and gender mainstreaming score for post-secondary education</w:t>
      </w:r>
    </w:p>
    <w:p>
      <w:pPr>
        <w:pStyle w:val="Heading1"/>
        <w:rPr>
          <w:rFonts w:ascii="Calibri" w:hAnsi="Calibri" w:cs="Calibri" w:asciiTheme="minorHAnsi" w:cstheme="minorHAnsi" w:hAnsiTheme="minorHAnsi"/>
          <w:sz w:val="32"/>
          <w:szCs w:val="32"/>
          <w:lang w:val="en-US"/>
        </w:rPr>
      </w:pPr>
      <w:bookmarkStart w:id="25" w:name="_Toc495387912"/>
      <w:r>
        <w:rPr>
          <w:rFonts w:cs="Calibri" w:ascii="Calibri" w:hAnsi="Calibri" w:asciiTheme="minorHAnsi" w:cstheme="minorHAnsi" w:hAnsiTheme="minorHAnsi"/>
          <w:sz w:val="32"/>
          <w:szCs w:val="32"/>
          <w:lang w:val="en-US"/>
        </w:rPr>
        <w:t>V. RECOMMENDATIONS</w:t>
      </w:r>
      <w:bookmarkEnd w:id="25"/>
      <w:r>
        <w:rPr>
          <w:rFonts w:cs="Calibri" w:ascii="Calibri" w:hAnsi="Calibri" w:asciiTheme="minorHAnsi" w:cstheme="minorHAnsi" w:hAnsiTheme="minorHAnsi"/>
          <w:sz w:val="32"/>
          <w:szCs w:val="32"/>
          <w:lang w:val="en-US"/>
        </w:rPr>
        <w:t xml:space="preserve"> </w:t>
      </w:r>
    </w:p>
    <w:p>
      <w:pPr>
        <w:pStyle w:val="Normal"/>
        <w:rPr>
          <w:lang w:val="en-US"/>
        </w:rPr>
      </w:pPr>
      <w:r>
        <w:rPr>
          <w:lang w:val="en-US"/>
        </w:rPr>
      </w:r>
    </w:p>
    <w:p>
      <w:pPr>
        <w:pStyle w:val="Normal"/>
        <w:tabs>
          <w:tab w:val="clear" w:pos="708"/>
          <w:tab w:val="left" w:pos="3093" w:leader="none"/>
        </w:tabs>
        <w:spacing w:lineRule="auto" w:line="240" w:before="0" w:after="0"/>
        <w:jc w:val="both"/>
        <w:rPr>
          <w:rFonts w:cs="Calibri" w:cstheme="minorHAnsi"/>
          <w:bCs/>
          <w:lang w:val="en-US"/>
        </w:rPr>
      </w:pPr>
      <w:r>
        <w:rPr>
          <w:b/>
          <w:lang w:val="en-US"/>
        </w:rPr>
        <w:t xml:space="preserve">VOCG authors had to balance multiple priorities. </w:t>
      </w:r>
      <w:r>
        <w:rPr>
          <w:lang w:val="en-US"/>
        </w:rPr>
        <w:t xml:space="preserve">In making the assessment and recommendations on how to strengthen gender equality perspective of the VOCG materials one should be cognizant of the following facts: (i) given the challenges to </w:t>
      </w:r>
      <w:r>
        <w:rPr>
          <w:rFonts w:cs="Calibri" w:cstheme="minorHAnsi"/>
          <w:bCs/>
          <w:lang w:val="en-US"/>
        </w:rPr>
        <w:t xml:space="preserve">vocational orientation and career counseling an eights module lesson approach to this topic seems very insufficient, (ii) given the multiple topics relevant to vocational orientation and career counseling the VOCG authors had to </w:t>
      </w:r>
      <w:r>
        <w:rPr>
          <w:rFonts w:cs="Calibri" w:cstheme="minorHAnsi"/>
          <w:bCs/>
          <w:i/>
          <w:lang w:val="en-US"/>
        </w:rPr>
        <w:t xml:space="preserve">prioritize to the bone </w:t>
      </w:r>
      <w:r>
        <w:rPr>
          <w:rFonts w:cs="Calibri" w:cstheme="minorHAnsi"/>
          <w:bCs/>
          <w:lang w:val="en-US"/>
        </w:rPr>
        <w:t xml:space="preserve">the information, tools and approaches used within each lesson. </w:t>
      </w:r>
    </w:p>
    <w:p>
      <w:pPr>
        <w:pStyle w:val="Normal"/>
        <w:tabs>
          <w:tab w:val="clear" w:pos="708"/>
          <w:tab w:val="left" w:pos="3093" w:leader="none"/>
        </w:tabs>
        <w:spacing w:lineRule="auto" w:line="240" w:before="0" w:after="0"/>
        <w:jc w:val="both"/>
        <w:rPr>
          <w:rFonts w:cs="Calibri" w:cstheme="minorHAnsi"/>
          <w:bCs/>
          <w:lang w:val="en-US"/>
        </w:rPr>
      </w:pPr>
      <w:r>
        <w:rPr>
          <w:rFonts w:cs="Calibri" w:cstheme="minorHAnsi"/>
          <w:bCs/>
          <w:lang w:val="en-US"/>
        </w:rPr>
      </w:r>
    </w:p>
    <w:p>
      <w:pPr>
        <w:pStyle w:val="Normal"/>
        <w:tabs>
          <w:tab w:val="clear" w:pos="708"/>
          <w:tab w:val="left" w:pos="3093" w:leader="none"/>
        </w:tabs>
        <w:spacing w:lineRule="auto" w:line="240" w:before="0" w:after="0"/>
        <w:jc w:val="both"/>
        <w:rPr>
          <w:rFonts w:cs="Calibri" w:cstheme="minorHAnsi"/>
          <w:bCs/>
          <w:lang w:val="en-US"/>
        </w:rPr>
      </w:pPr>
      <w:r>
        <w:rPr>
          <w:rFonts w:cs="Calibri" w:cstheme="minorHAnsi"/>
          <w:b/>
          <w:bCs/>
          <w:lang w:val="en-US"/>
        </w:rPr>
        <w:t xml:space="preserve">Fully use gender sensitive language. </w:t>
      </w:r>
      <w:r>
        <w:rPr>
          <w:rFonts w:cs="Calibri" w:cstheme="minorHAnsi"/>
          <w:bCs/>
          <w:lang w:val="en-US"/>
        </w:rPr>
        <w:t xml:space="preserve">VOCG materials had a somewhat inconsistent approach to using feminine and masculine version of professions. The suggestion is to use a general rule where by all professions would be used in both forms as to signal clearly that all jobs are accessible for both boys and girls. </w:t>
      </w:r>
    </w:p>
    <w:p>
      <w:pPr>
        <w:pStyle w:val="Normal"/>
        <w:tabs>
          <w:tab w:val="clear" w:pos="708"/>
          <w:tab w:val="left" w:pos="3093" w:leader="none"/>
        </w:tabs>
        <w:spacing w:lineRule="auto" w:line="240" w:before="0" w:after="0"/>
        <w:jc w:val="both"/>
        <w:rPr>
          <w:rFonts w:cs="Calibri" w:cstheme="minorHAnsi"/>
          <w:bCs/>
          <w:lang w:val="en-US"/>
        </w:rPr>
      </w:pPr>
      <w:r>
        <w:rPr>
          <w:rFonts w:cs="Calibri" w:cstheme="minorHAnsi"/>
          <w:bCs/>
          <w:lang w:val="en-US"/>
        </w:rPr>
      </w:r>
    </w:p>
    <w:p>
      <w:pPr>
        <w:pStyle w:val="Normal"/>
        <w:tabs>
          <w:tab w:val="clear" w:pos="708"/>
          <w:tab w:val="left" w:pos="3093" w:leader="none"/>
        </w:tabs>
        <w:spacing w:lineRule="auto" w:line="240" w:before="0" w:after="0"/>
        <w:jc w:val="both"/>
        <w:rPr>
          <w:lang w:val="en-US"/>
        </w:rPr>
      </w:pPr>
      <w:r>
        <w:rPr>
          <w:b/>
          <w:lang w:val="en-US"/>
        </w:rPr>
        <w:t xml:space="preserve">Help the students to challenge traditional gender roles and stereotypes. </w:t>
      </w:r>
      <w:r>
        <w:rPr>
          <w:lang w:val="en-US"/>
        </w:rPr>
        <w:t xml:space="preserve">VOCG materials encourage students to reflect and think critically. This approach can be extended to help students challenge and think critically about the existing perceptions on the role of men and women in the private and working arenas. </w:t>
      </w:r>
    </w:p>
    <w:p>
      <w:pPr>
        <w:pStyle w:val="Normal"/>
        <w:tabs>
          <w:tab w:val="clear" w:pos="708"/>
          <w:tab w:val="left" w:pos="3093" w:leader="none"/>
        </w:tabs>
        <w:spacing w:lineRule="auto" w:line="240" w:before="0" w:after="0"/>
        <w:jc w:val="both"/>
        <w:rPr>
          <w:lang w:val="en-US"/>
        </w:rPr>
      </w:pPr>
      <w:r>
        <w:rPr>
          <w:lang w:val="en-US"/>
        </w:rPr>
      </w:r>
    </w:p>
    <w:p>
      <w:pPr>
        <w:pStyle w:val="Normal"/>
        <w:tabs>
          <w:tab w:val="clear" w:pos="708"/>
          <w:tab w:val="left" w:pos="3093" w:leader="none"/>
        </w:tabs>
        <w:spacing w:lineRule="auto" w:line="240" w:before="0" w:after="0"/>
        <w:jc w:val="both"/>
        <w:rPr>
          <w:lang w:val="en-US"/>
        </w:rPr>
      </w:pPr>
      <w:r>
        <w:rPr>
          <w:b/>
          <w:lang w:val="en-US"/>
        </w:rPr>
        <w:t xml:space="preserve">Make a better use of potential role models and resource persons. </w:t>
      </w:r>
      <w:r>
        <w:rPr>
          <w:lang w:val="en-US"/>
        </w:rPr>
        <w:t xml:space="preserve">In multiple cases students are asked to interview or study a resource person from the community or family. Teachers can encourage students to get in touch with persons (male or female) that can challenge traditional roles and stereotypes. </w:t>
      </w:r>
    </w:p>
    <w:p>
      <w:pPr>
        <w:pStyle w:val="Normal"/>
        <w:tabs>
          <w:tab w:val="clear" w:pos="708"/>
          <w:tab w:val="left" w:pos="3093" w:leader="none"/>
        </w:tabs>
        <w:spacing w:lineRule="auto" w:line="240" w:before="0" w:after="0"/>
        <w:jc w:val="both"/>
        <w:rPr>
          <w:lang w:val="en-US"/>
        </w:rPr>
      </w:pPr>
      <w:r>
        <w:rPr>
          <w:lang w:val="en-US"/>
        </w:rPr>
      </w:r>
    </w:p>
    <w:p>
      <w:pPr>
        <w:pStyle w:val="Normal"/>
        <w:tabs>
          <w:tab w:val="clear" w:pos="708"/>
          <w:tab w:val="left" w:pos="3093" w:leader="none"/>
        </w:tabs>
        <w:spacing w:lineRule="auto" w:line="240" w:before="0" w:after="0"/>
        <w:jc w:val="both"/>
        <w:rPr>
          <w:lang w:val="en-US"/>
        </w:rPr>
      </w:pPr>
      <w:r>
        <w:rPr>
          <w:b/>
          <w:lang w:val="en-US"/>
        </w:rPr>
        <w:t xml:space="preserve">For the most gender relevant topics it is advised to address gender inequality head on. </w:t>
      </w:r>
      <w:r>
        <w:rPr>
          <w:lang w:val="en-US"/>
        </w:rPr>
        <w:t xml:space="preserve">If lessons topics are dealing with intended career path, domestic work, working relations, mass media, salary negotiation, labour rights etc., lesson materials should address relevant gender inequalities. </w:t>
      </w:r>
    </w:p>
    <w:p>
      <w:pPr>
        <w:pStyle w:val="Normal"/>
        <w:tabs>
          <w:tab w:val="clear" w:pos="708"/>
          <w:tab w:val="left" w:pos="3093" w:leader="none"/>
        </w:tabs>
        <w:spacing w:lineRule="auto" w:line="240" w:before="0" w:after="0"/>
        <w:jc w:val="both"/>
        <w:rPr>
          <w:lang w:val="en-US"/>
        </w:rPr>
      </w:pPr>
      <w:r>
        <w:rPr>
          <w:lang w:val="en-US"/>
        </w:rPr>
      </w:r>
    </w:p>
    <w:p>
      <w:pPr>
        <w:pStyle w:val="Normal"/>
        <w:tabs>
          <w:tab w:val="clear" w:pos="708"/>
          <w:tab w:val="left" w:pos="3093" w:leader="none"/>
        </w:tabs>
        <w:spacing w:lineRule="auto" w:line="240" w:before="0" w:after="0"/>
        <w:jc w:val="both"/>
        <w:rPr>
          <w:rFonts w:cs="Calibri" w:cstheme="minorHAnsi"/>
          <w:bCs/>
          <w:lang w:val="en-US"/>
        </w:rPr>
      </w:pPr>
      <w:r>
        <w:rPr>
          <w:b/>
          <w:lang w:val="en-US"/>
        </w:rPr>
        <w:t xml:space="preserve">Encourage teachers to be more gender sensitive. </w:t>
      </w:r>
      <w:r>
        <w:rPr>
          <w:lang w:val="en-US"/>
        </w:rPr>
        <w:t xml:space="preserve">Both through support materials and training teachers can develop necessary skills and gender awareness to organize </w:t>
      </w:r>
      <w:r>
        <w:rPr>
          <w:rFonts w:cs="Calibri" w:cstheme="minorHAnsi"/>
          <w:bCs/>
          <w:lang w:val="en-US"/>
        </w:rPr>
        <w:t xml:space="preserve">vocational orientation and career counselling modules that are gender sensitive. </w:t>
      </w:r>
    </w:p>
    <w:p>
      <w:pPr>
        <w:pStyle w:val="Normal"/>
        <w:tabs>
          <w:tab w:val="clear" w:pos="708"/>
          <w:tab w:val="left" w:pos="3093" w:leader="none"/>
        </w:tabs>
        <w:spacing w:lineRule="auto" w:line="240" w:before="0" w:after="0"/>
        <w:jc w:val="both"/>
        <w:rPr>
          <w:rFonts w:cs="Calibri" w:cstheme="minorHAnsi"/>
          <w:bCs/>
          <w:lang w:val="en-US"/>
        </w:rPr>
      </w:pPr>
      <w:r>
        <w:rPr>
          <w:rFonts w:cs="Calibri" w:cstheme="minorHAnsi"/>
          <w:bCs/>
          <w:lang w:val="en-US"/>
        </w:rPr>
      </w:r>
    </w:p>
    <w:p>
      <w:pPr>
        <w:pStyle w:val="Normal"/>
        <w:tabs>
          <w:tab w:val="clear" w:pos="708"/>
          <w:tab w:val="left" w:pos="3093" w:leader="none"/>
        </w:tabs>
        <w:spacing w:lineRule="auto" w:line="240" w:before="0" w:after="0"/>
        <w:jc w:val="both"/>
        <w:rPr>
          <w:rFonts w:cs="Calibri" w:cstheme="minorHAnsi"/>
          <w:bCs/>
          <w:lang w:val="en-US"/>
        </w:rPr>
      </w:pPr>
      <w:r>
        <w:rPr>
          <w:rFonts w:cs="Calibri" w:cstheme="minorHAnsi"/>
          <w:bCs/>
          <w:lang w:val="en-US"/>
        </w:rPr>
      </w:r>
    </w:p>
    <w:p>
      <w:pPr>
        <w:pStyle w:val="Normal"/>
        <w:tabs>
          <w:tab w:val="clear" w:pos="708"/>
          <w:tab w:val="left" w:pos="3093" w:leader="none"/>
        </w:tabs>
        <w:spacing w:lineRule="auto" w:line="240" w:before="0" w:after="0"/>
        <w:rPr>
          <w:rStyle w:val="Fontstyle01"/>
          <w:b/>
          <w:b/>
        </w:rPr>
      </w:pPr>
      <w:r>
        <w:rPr>
          <w:b/>
        </w:rPr>
      </w:r>
    </w:p>
    <w:p>
      <w:pPr>
        <w:pStyle w:val="Normal"/>
        <w:tabs>
          <w:tab w:val="clear" w:pos="708"/>
          <w:tab w:val="left" w:pos="3093" w:leader="none"/>
        </w:tabs>
        <w:spacing w:lineRule="auto" w:line="240" w:before="0" w:after="0"/>
        <w:rPr>
          <w:rStyle w:val="Fontstyle01"/>
          <w:b/>
          <w:b/>
        </w:rPr>
      </w:pPr>
      <w:r>
        <w:rPr>
          <w:b/>
        </w:rPr>
      </w:r>
    </w:p>
    <w:p>
      <w:pPr>
        <w:pStyle w:val="Normal"/>
        <w:tabs>
          <w:tab w:val="clear" w:pos="708"/>
          <w:tab w:val="left" w:pos="3093" w:leader="none"/>
        </w:tabs>
        <w:spacing w:lineRule="auto" w:line="240" w:before="0" w:after="0"/>
        <w:rPr>
          <w:rStyle w:val="Fontstyle01"/>
          <w:b/>
          <w:b/>
        </w:rPr>
      </w:pPr>
      <w:r>
        <w:rPr>
          <w:b/>
        </w:rPr>
      </w:r>
    </w:p>
    <w:p>
      <w:pPr>
        <w:pStyle w:val="Normal"/>
        <w:tabs>
          <w:tab w:val="clear" w:pos="708"/>
          <w:tab w:val="left" w:pos="3093" w:leader="none"/>
        </w:tabs>
        <w:spacing w:lineRule="auto" w:line="240" w:before="0" w:after="0"/>
        <w:rPr>
          <w:rStyle w:val="Fontstyle01"/>
          <w:b/>
          <w:b/>
        </w:rPr>
      </w:pPr>
      <w:r>
        <w:rPr>
          <w:b/>
        </w:rPr>
      </w:r>
    </w:p>
    <w:p>
      <w:pPr>
        <w:pStyle w:val="Normal"/>
        <w:tabs>
          <w:tab w:val="clear" w:pos="708"/>
          <w:tab w:val="left" w:pos="3093" w:leader="none"/>
        </w:tabs>
        <w:spacing w:lineRule="auto" w:line="240" w:before="0" w:after="0"/>
        <w:rPr>
          <w:rStyle w:val="Fontstyle01"/>
          <w:b/>
          <w:b/>
        </w:rPr>
      </w:pPr>
      <w:r>
        <w:rPr>
          <w:rStyle w:val="Fontstyle01"/>
          <w:b/>
        </w:rPr>
        <w:t>VII. BIBLIOGRAPHY</w:t>
      </w:r>
    </w:p>
    <w:p>
      <w:pPr>
        <w:pStyle w:val="Normal"/>
        <w:tabs>
          <w:tab w:val="clear" w:pos="708"/>
          <w:tab w:val="left" w:pos="3093" w:leader="none"/>
        </w:tabs>
        <w:spacing w:lineRule="auto" w:line="240" w:before="0" w:after="0"/>
        <w:rPr>
          <w:rStyle w:val="Fontstyle01"/>
          <w:b/>
          <w:b/>
        </w:rPr>
      </w:pPr>
      <w:r>
        <w:rPr>
          <w:b/>
        </w:rPr>
      </w:r>
    </w:p>
    <w:p>
      <w:pPr>
        <w:pStyle w:val="ListParagraph"/>
        <w:numPr>
          <w:ilvl w:val="0"/>
          <w:numId w:val="1"/>
        </w:numPr>
        <w:tabs>
          <w:tab w:val="clear" w:pos="708"/>
          <w:tab w:val="left" w:pos="3093" w:leader="none"/>
        </w:tabs>
        <w:spacing w:lineRule="auto" w:line="240" w:before="0" w:after="0"/>
        <w:contextualSpacing/>
        <w:rPr>
          <w:rStyle w:val="Fontstyle01"/>
          <w:color w:val="000000"/>
          <w:sz w:val="22"/>
          <w:szCs w:val="22"/>
        </w:rPr>
      </w:pPr>
      <w:r>
        <w:rPr>
          <w:rStyle w:val="Fontstyle01"/>
          <w:color w:val="000000"/>
          <w:sz w:val="22"/>
          <w:szCs w:val="22"/>
        </w:rPr>
        <w:t>Law nr. 5 from 09.02. 2006 on ensuring equality chances for women and men</w:t>
      </w:r>
    </w:p>
    <w:p>
      <w:pPr>
        <w:pStyle w:val="ListParagraph"/>
        <w:numPr>
          <w:ilvl w:val="0"/>
          <w:numId w:val="1"/>
        </w:numPr>
        <w:tabs>
          <w:tab w:val="clear" w:pos="708"/>
          <w:tab w:val="left" w:pos="3093" w:leader="none"/>
        </w:tabs>
        <w:spacing w:lineRule="auto" w:line="240" w:before="0" w:after="0"/>
        <w:contextualSpacing/>
        <w:rPr>
          <w:rStyle w:val="Fontstyle01"/>
          <w:color w:val="000000"/>
          <w:sz w:val="22"/>
          <w:szCs w:val="22"/>
        </w:rPr>
      </w:pPr>
      <w:r>
        <w:rPr>
          <w:rStyle w:val="Fontstyle01"/>
          <w:color w:val="000000"/>
          <w:sz w:val="22"/>
          <w:szCs w:val="22"/>
        </w:rPr>
        <w:t>Law nr. 121 from 25.05.2012 on ensuring equality</w:t>
      </w:r>
    </w:p>
    <w:p>
      <w:pPr>
        <w:pStyle w:val="ListParagraph"/>
        <w:numPr>
          <w:ilvl w:val="0"/>
          <w:numId w:val="1"/>
        </w:numPr>
        <w:tabs>
          <w:tab w:val="clear" w:pos="708"/>
          <w:tab w:val="left" w:pos="3093" w:leader="none"/>
        </w:tabs>
        <w:spacing w:lineRule="auto" w:line="240" w:before="0" w:after="0"/>
        <w:contextualSpacing/>
        <w:rPr>
          <w:rStyle w:val="Fontstyle01"/>
          <w:color w:val="000000"/>
          <w:sz w:val="22"/>
          <w:szCs w:val="22"/>
        </w:rPr>
      </w:pPr>
      <w:r>
        <w:rPr>
          <w:rStyle w:val="Fontstyle01"/>
          <w:color w:val="000000"/>
          <w:sz w:val="22"/>
          <w:szCs w:val="22"/>
        </w:rPr>
        <w:t>Gender Equality Strategy in Republic of Moldova 2017-2021</w:t>
      </w:r>
    </w:p>
    <w:p>
      <w:pPr>
        <w:pStyle w:val="ListParagraph"/>
        <w:numPr>
          <w:ilvl w:val="0"/>
          <w:numId w:val="1"/>
        </w:numPr>
        <w:tabs>
          <w:tab w:val="clear" w:pos="708"/>
          <w:tab w:val="left" w:pos="3093" w:leader="none"/>
        </w:tabs>
        <w:spacing w:lineRule="auto" w:line="240" w:before="0" w:after="0"/>
        <w:contextualSpacing/>
        <w:rPr>
          <w:rStyle w:val="Fontstyle01"/>
          <w:color w:val="000000"/>
          <w:sz w:val="22"/>
          <w:szCs w:val="22"/>
        </w:rPr>
      </w:pPr>
      <w:r>
        <w:rPr>
          <w:rStyle w:val="Fontstyle01"/>
          <w:color w:val="000000"/>
          <w:sz w:val="22"/>
          <w:szCs w:val="22"/>
        </w:rPr>
        <w:t>Policy Paper. Three Solutions to Promote Gender Equality in Education, CPD 2016.</w:t>
      </w:r>
    </w:p>
    <w:p>
      <w:pPr>
        <w:pStyle w:val="ListParagraph"/>
        <w:numPr>
          <w:ilvl w:val="0"/>
          <w:numId w:val="1"/>
        </w:numPr>
        <w:tabs>
          <w:tab w:val="clear" w:pos="708"/>
          <w:tab w:val="left" w:pos="3093" w:leader="none"/>
        </w:tabs>
        <w:spacing w:lineRule="auto" w:line="240" w:before="0" w:after="0"/>
        <w:contextualSpacing/>
        <w:rPr>
          <w:rStyle w:val="Fontstyle01"/>
          <w:color w:val="000000"/>
          <w:sz w:val="22"/>
          <w:szCs w:val="22"/>
        </w:rPr>
      </w:pPr>
      <w:r>
        <w:rPr>
          <w:rStyle w:val="Fontstyle01"/>
          <w:color w:val="000000"/>
          <w:sz w:val="22"/>
          <w:szCs w:val="22"/>
        </w:rPr>
        <w:t>From aspirations to occupations: the role of information in educational and labor market decisions</w:t>
      </w:r>
      <w:r>
        <w:rPr>
          <w:rFonts w:cs="Calibri"/>
          <w:color w:val="000000"/>
        </w:rPr>
        <w:br/>
      </w:r>
      <w:r>
        <w:rPr>
          <w:rStyle w:val="Fontstyle01"/>
          <w:color w:val="000000"/>
          <w:sz w:val="22"/>
          <w:szCs w:val="22"/>
        </w:rPr>
        <w:t>in Moldova, World Bank Moldova, 2016</w:t>
      </w:r>
    </w:p>
    <w:p>
      <w:pPr>
        <w:pStyle w:val="ListParagraph"/>
        <w:numPr>
          <w:ilvl w:val="0"/>
          <w:numId w:val="1"/>
        </w:numPr>
        <w:tabs>
          <w:tab w:val="clear" w:pos="708"/>
          <w:tab w:val="left" w:pos="3093" w:leader="none"/>
        </w:tabs>
        <w:spacing w:lineRule="auto" w:line="240" w:before="0" w:after="0"/>
        <w:contextualSpacing/>
        <w:rPr>
          <w:rStyle w:val="Fontstyle01"/>
          <w:color w:val="000000"/>
          <w:sz w:val="22"/>
          <w:szCs w:val="22"/>
        </w:rPr>
      </w:pPr>
      <w:r>
        <w:rPr>
          <w:rStyle w:val="Fontstyle01"/>
          <w:color w:val="000000"/>
          <w:sz w:val="22"/>
          <w:szCs w:val="22"/>
        </w:rPr>
        <w:t>IMAGES Study “Men and Gender Equality in Moldova”, Women’s Law Center, 2016</w:t>
      </w:r>
    </w:p>
    <w:p>
      <w:pPr>
        <w:pStyle w:val="ListParagraph"/>
        <w:numPr>
          <w:ilvl w:val="0"/>
          <w:numId w:val="1"/>
        </w:numPr>
        <w:tabs>
          <w:tab w:val="clear" w:pos="708"/>
          <w:tab w:val="left" w:pos="3093" w:leader="none"/>
        </w:tabs>
        <w:spacing w:lineRule="auto" w:line="240" w:before="0" w:after="0"/>
        <w:contextualSpacing/>
        <w:rPr/>
      </w:pPr>
      <w:r>
        <w:rPr>
          <w:rStyle w:val="Fontstyle01"/>
          <w:color w:val="000000"/>
          <w:sz w:val="22"/>
          <w:szCs w:val="22"/>
        </w:rPr>
        <w:t>A set of didactic materials for students, teachers and class masters for “Personal Development and Career Planning” module (V-XII grades and vocational institutions), Garomont Studio, 2016</w:t>
      </w:r>
    </w:p>
    <w:sectPr>
      <w:headerReference w:type="default" r:id="rId25"/>
      <w:headerReference w:type="first" r:id="rId26"/>
      <w:footerReference w:type="default" r:id="rId27"/>
      <w:footnotePr>
        <w:numFmt w:val="decimal"/>
      </w:footnotePr>
      <w:type w:val="nextPage"/>
      <w:pgSz w:w="11906" w:h="16838"/>
      <w:pgMar w:left="1134" w:right="566" w:header="708" w:top="1135" w:footer="708"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9719453"/>
    </w:sdtPr>
    <w:sdtContent>
      <w:p>
        <w:pPr>
          <w:pStyle w:val="Footer"/>
          <w:jc w:val="center"/>
          <w:rPr/>
        </w:pPr>
        <w:r>
          <w:rPr/>
          <w:fldChar w:fldCharType="begin"/>
        </w:r>
        <w:r>
          <w:rPr/>
          <w:instrText> PAGE </w:instrText>
        </w:r>
        <w:r>
          <w:rPr/>
          <w:fldChar w:fldCharType="separate"/>
        </w:r>
        <w:r>
          <w:rPr/>
          <w:t>16</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lang w:val="en-US"/>
        </w:rPr>
        <w:t xml:space="preserve"> </w:t>
      </w:r>
      <w:r>
        <w:rPr>
          <w:lang w:val="en-US"/>
        </w:rPr>
        <w:t xml:space="preserve">From aspirations to occupations: the role of information in educational and labor market decisions in Moldova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339" w:leader="none"/>
        <w:tab w:val="left" w:pos="5086" w:leader="none"/>
        <w:tab w:val="left" w:pos="8042" w:leader="none"/>
      </w:tabs>
      <w:spacing w:lineRule="auto" w:line="240" w:before="0" w:after="0"/>
      <w:rPr>
        <w:color w:val="1F497D" w:themeColor="text2"/>
        <w:sz w:val="32"/>
        <w:szCs w:val="32"/>
        <w:lang w:val="en-US"/>
      </w:rPr>
    </w:pPr>
    <w:r>
      <w:drawing>
        <wp:anchor behindDoc="1" distT="0" distB="635" distL="114300" distR="114300" simplePos="0" locked="0" layoutInCell="1" allowOverlap="1" relativeHeight="2">
          <wp:simplePos x="0" y="0"/>
          <wp:positionH relativeFrom="column">
            <wp:posOffset>8838565</wp:posOffset>
          </wp:positionH>
          <wp:positionV relativeFrom="paragraph">
            <wp:posOffset>70485</wp:posOffset>
          </wp:positionV>
          <wp:extent cx="2306955" cy="856615"/>
          <wp:effectExtent l="0" t="0" r="0" b="0"/>
          <wp:wrapNone/>
          <wp:docPr id="25"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
                  <pic:cNvPicPr>
                    <a:picLocks noChangeAspect="1" noChangeArrowheads="1"/>
                  </pic:cNvPicPr>
                </pic:nvPicPr>
                <pic:blipFill>
                  <a:blip r:embed="rId1"/>
                  <a:stretch>
                    <a:fillRect/>
                  </a:stretch>
                </pic:blipFill>
                <pic:spPr bwMode="auto">
                  <a:xfrm>
                    <a:off x="0" y="0"/>
                    <a:ext cx="2306955" cy="856615"/>
                  </a:xfrm>
                  <a:prstGeom prst="rect">
                    <a:avLst/>
                  </a:prstGeom>
                </pic:spPr>
              </pic:pic>
            </a:graphicData>
          </a:graphic>
        </wp:anchor>
      </w:drawing>
      <w:drawing>
        <wp:anchor behindDoc="1" distT="0" distB="0" distL="114300" distR="114300" simplePos="0" locked="0" layoutInCell="1" allowOverlap="1" relativeHeight="3">
          <wp:simplePos x="0" y="0"/>
          <wp:positionH relativeFrom="column">
            <wp:posOffset>3810</wp:posOffset>
          </wp:positionH>
          <wp:positionV relativeFrom="paragraph">
            <wp:posOffset>3175</wp:posOffset>
          </wp:positionV>
          <wp:extent cx="1345565" cy="480060"/>
          <wp:effectExtent l="0" t="0" r="0" b="0"/>
          <wp:wrapNone/>
          <wp:docPr id="26" name="Рисунок 4" descr="\\Fileserver\public3\REVOCC\Materials_under_development\LOGOs_foaie_antet\Logo ADA_0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4" descr="\\Fileserver\public3\REVOCC\Materials_under_development\LOGOs_foaie_antet\Logo ADA_01 new.jpg"/>
                  <pic:cNvPicPr>
                    <a:picLocks noChangeAspect="1" noChangeArrowheads="1"/>
                  </pic:cNvPicPr>
                </pic:nvPicPr>
                <pic:blipFill>
                  <a:blip r:embed="rId2"/>
                  <a:stretch>
                    <a:fillRect/>
                  </a:stretch>
                </pic:blipFill>
                <pic:spPr bwMode="auto">
                  <a:xfrm>
                    <a:off x="0" y="0"/>
                    <a:ext cx="1345565" cy="480060"/>
                  </a:xfrm>
                  <a:prstGeom prst="rect">
                    <a:avLst/>
                  </a:prstGeom>
                </pic:spPr>
              </pic:pic>
            </a:graphicData>
          </a:graphic>
        </wp:anchor>
      </w:drawing>
      <w:drawing>
        <wp:anchor behindDoc="1" distT="0" distB="0" distL="114300" distR="114300" simplePos="0" locked="0" layoutInCell="1" allowOverlap="1" relativeHeight="4">
          <wp:simplePos x="0" y="0"/>
          <wp:positionH relativeFrom="column">
            <wp:posOffset>1663700</wp:posOffset>
          </wp:positionH>
          <wp:positionV relativeFrom="paragraph">
            <wp:posOffset>-1905</wp:posOffset>
          </wp:positionV>
          <wp:extent cx="1436370" cy="469900"/>
          <wp:effectExtent l="0" t="0" r="0" b="0"/>
          <wp:wrapNone/>
          <wp:docPr id="27" name="Picture 2" descr="C:\Users\User_2\Deskt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C:\Users\User_2\Desktop\es.png"/>
                  <pic:cNvPicPr>
                    <a:picLocks noChangeAspect="1" noChangeArrowheads="1"/>
                  </pic:cNvPicPr>
                </pic:nvPicPr>
                <pic:blipFill>
                  <a:blip r:embed="rId3"/>
                  <a:stretch>
                    <a:fillRect/>
                  </a:stretch>
                </pic:blipFill>
                <pic:spPr bwMode="auto">
                  <a:xfrm>
                    <a:off x="0" y="0"/>
                    <a:ext cx="1436370" cy="469900"/>
                  </a:xfrm>
                  <a:prstGeom prst="rect">
                    <a:avLst/>
                  </a:prstGeom>
                </pic:spPr>
              </pic:pic>
            </a:graphicData>
          </a:graphic>
        </wp:anchor>
      </w:drawing>
    </w:r>
    <w:r>
      <w:rPr>
        <w:color w:val="1F497D" w:themeColor="text2"/>
        <w:sz w:val="32"/>
        <w:szCs w:val="32"/>
        <w:lang w:val="en-US"/>
      </w:rPr>
      <w:tab/>
    </w:r>
    <w:r>
      <w:rPr>
        <w:color w:val="1F497D" w:themeColor="text2"/>
        <w:sz w:val="32"/>
        <w:szCs w:val="32"/>
        <w:lang w:val="en-US"/>
      </w:rPr>
      <w:t xml:space="preserve">    </w:t>
      <w:tab/>
      <w:t xml:space="preserve">  </w:t>
    </w:r>
    <w:r>
      <w:rPr/>
      <w:drawing>
        <wp:inline distT="0" distB="0" distL="0" distR="0">
          <wp:extent cx="1421765" cy="485775"/>
          <wp:effectExtent l="0" t="0" r="0" b="0"/>
          <wp:docPr id="28" name="I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ine 8" descr=""/>
                  <pic:cNvPicPr>
                    <a:picLocks noChangeAspect="1" noChangeArrowheads="1"/>
                  </pic:cNvPicPr>
                </pic:nvPicPr>
                <pic:blipFill>
                  <a:blip r:embed="rId4"/>
                  <a:stretch>
                    <a:fillRect/>
                  </a:stretch>
                </pic:blipFill>
                <pic:spPr bwMode="auto">
                  <a:xfrm>
                    <a:off x="0" y="0"/>
                    <a:ext cx="1421765" cy="485775"/>
                  </a:xfrm>
                  <a:prstGeom prst="rect">
                    <a:avLst/>
                  </a:prstGeom>
                </pic:spPr>
              </pic:pic>
            </a:graphicData>
          </a:graphic>
        </wp:inline>
      </w:drawing>
    </w:r>
    <w:r>
      <w:rPr>
        <w:color w:val="1F497D" w:themeColor="text2"/>
        <w:sz w:val="32"/>
        <w:szCs w:val="32"/>
        <w:lang w:val="en-US"/>
      </w:rPr>
      <w:t xml:space="preserve">    </w:t>
    </w:r>
    <w:r>
      <w:rPr/>
      <w:drawing>
        <wp:inline distT="0" distB="0" distL="0" distR="0">
          <wp:extent cx="1139825" cy="462915"/>
          <wp:effectExtent l="0" t="0" r="0" b="0"/>
          <wp:docPr id="2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 descr=""/>
                  <pic:cNvPicPr>
                    <a:picLocks noChangeAspect="1" noChangeArrowheads="1"/>
                  </pic:cNvPicPr>
                </pic:nvPicPr>
                <pic:blipFill>
                  <a:blip r:embed="rId5"/>
                  <a:stretch>
                    <a:fillRect/>
                  </a:stretch>
                </pic:blipFill>
                <pic:spPr bwMode="auto">
                  <a:xfrm>
                    <a:off x="0" y="0"/>
                    <a:ext cx="1139825" cy="462915"/>
                  </a:xfrm>
                  <a:prstGeom prst="rect">
                    <a:avLst/>
                  </a:prstGeom>
                </pic:spPr>
              </pic:pic>
            </a:graphicData>
          </a:graphic>
        </wp:inline>
      </w:drawing>
    </w:r>
  </w:p>
  <w:p>
    <w:pPr>
      <w:pStyle w:val="Normal"/>
      <w:spacing w:lineRule="auto" w:line="240" w:before="0" w:after="0"/>
      <w:jc w:val="center"/>
      <w:rPr>
        <w:color w:val="1F497D" w:themeColor="text2"/>
        <w:sz w:val="32"/>
        <w:szCs w:val="32"/>
        <w:lang w:val="en-US"/>
      </w:rPr>
    </w:pPr>
    <w:r>
      <w:rPr>
        <w:color w:val="1F497D" w:themeColor="text2"/>
        <w:sz w:val="32"/>
        <w:szCs w:val="32"/>
        <w:lang w:val="en-US"/>
      </w:rPr>
    </w:r>
  </w:p>
  <w:p>
    <w:pPr>
      <w:pStyle w:val="Normal"/>
      <w:spacing w:lineRule="auto" w:line="240" w:before="0" w:after="0"/>
      <w:jc w:val="center"/>
      <w:rPr>
        <w:rFonts w:cs="Calibri" w:cstheme="minorHAnsi"/>
        <w:b/>
        <w:b/>
        <w:color w:val="1F497D" w:themeColor="text2"/>
        <w:sz w:val="24"/>
        <w:szCs w:val="24"/>
        <w:lang w:val="en-US"/>
      </w:rPr>
    </w:pPr>
    <w:r>
      <w:rPr>
        <w:rFonts w:cs="Calibri" w:cstheme="minorHAnsi"/>
        <w:b/>
        <w:color w:val="1F497D" w:themeColor="text2"/>
        <w:sz w:val="24"/>
        <w:szCs w:val="24"/>
        <w:lang w:val="en-US"/>
      </w:rPr>
      <w:t>RE-ENGINEERING VOCATIONAL ORIENTATION AND CAREER COUNSELLING - REVOCC</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6f2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paragraph" w:styleId="Heading1">
    <w:name w:val="Heading 1"/>
    <w:basedOn w:val="Normal"/>
    <w:next w:val="Normal"/>
    <w:link w:val="Titlu1Caracter"/>
    <w:uiPriority w:val="9"/>
    <w:qFormat/>
    <w:rsid w:val="0008189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Titlu2Caracter"/>
    <w:uiPriority w:val="9"/>
    <w:unhideWhenUsed/>
    <w:qFormat/>
    <w:rsid w:val="0008189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extnBalonCaracter" w:customStyle="1">
    <w:name w:val="Text în Balon Caracter"/>
    <w:basedOn w:val="DefaultParagraphFont"/>
    <w:link w:val="TextnBalon"/>
    <w:uiPriority w:val="99"/>
    <w:semiHidden/>
    <w:qFormat/>
    <w:rsid w:val="00b40e32"/>
    <w:rPr>
      <w:rFonts w:ascii="Tahoma" w:hAnsi="Tahoma" w:cs="Tahoma"/>
      <w:sz w:val="16"/>
      <w:szCs w:val="16"/>
    </w:rPr>
  </w:style>
  <w:style w:type="character" w:styleId="AntetCaracter" w:customStyle="1">
    <w:name w:val="Antet Caracter"/>
    <w:basedOn w:val="DefaultParagraphFont"/>
    <w:link w:val="Antet"/>
    <w:uiPriority w:val="99"/>
    <w:qFormat/>
    <w:rsid w:val="008e28f0"/>
    <w:rPr/>
  </w:style>
  <w:style w:type="character" w:styleId="SubsolCaracter" w:customStyle="1">
    <w:name w:val="Subsol Caracter"/>
    <w:basedOn w:val="DefaultParagraphFont"/>
    <w:link w:val="Subsol"/>
    <w:uiPriority w:val="99"/>
    <w:qFormat/>
    <w:rsid w:val="008e28f0"/>
    <w:rPr/>
  </w:style>
  <w:style w:type="character" w:styleId="TextnotdesubsolCaracter" w:customStyle="1">
    <w:name w:val="Text notă de subsol Caracter"/>
    <w:basedOn w:val="DefaultParagraphFont"/>
    <w:link w:val="Textnotdesubsol"/>
    <w:uiPriority w:val="99"/>
    <w:qFormat/>
    <w:rsid w:val="008e28f0"/>
    <w:rPr>
      <w:sz w:val="20"/>
      <w:szCs w:val="20"/>
    </w:rPr>
  </w:style>
  <w:style w:type="character" w:styleId="FootnoteCharacters">
    <w:name w:val="Footnote Characters"/>
    <w:basedOn w:val="DefaultParagraphFont"/>
    <w:link w:val="Char2"/>
    <w:uiPriority w:val="99"/>
    <w:unhideWhenUsed/>
    <w:qFormat/>
    <w:rsid w:val="008e28f0"/>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8e28f0"/>
    <w:rPr>
      <w:color w:val="0000FF" w:themeColor="hyperlink"/>
      <w:u w:val="single"/>
    </w:rPr>
  </w:style>
  <w:style w:type="character" w:styleId="Titlu1Caracter" w:customStyle="1">
    <w:name w:val="Titlu 1 Caracter"/>
    <w:basedOn w:val="DefaultParagraphFont"/>
    <w:link w:val="Titlu1"/>
    <w:uiPriority w:val="9"/>
    <w:qFormat/>
    <w:rsid w:val="00081897"/>
    <w:rPr>
      <w:rFonts w:ascii="Cambria" w:hAnsi="Cambria" w:eastAsia="" w:cs="" w:asciiTheme="majorHAnsi" w:cstheme="majorBidi" w:eastAsiaTheme="majorEastAsia" w:hAnsiTheme="majorHAnsi"/>
      <w:b/>
      <w:bCs/>
      <w:color w:val="365F91" w:themeColor="accent1" w:themeShade="bf"/>
      <w:sz w:val="28"/>
      <w:szCs w:val="28"/>
    </w:rPr>
  </w:style>
  <w:style w:type="character" w:styleId="Titlu2Caracter" w:customStyle="1">
    <w:name w:val="Titlu 2 Caracter"/>
    <w:basedOn w:val="DefaultParagraphFont"/>
    <w:link w:val="Titlu2"/>
    <w:uiPriority w:val="9"/>
    <w:qFormat/>
    <w:rsid w:val="00081897"/>
    <w:rPr>
      <w:rFonts w:ascii="Cambria" w:hAnsi="Cambria" w:eastAsia="" w:cs="" w:asciiTheme="majorHAnsi" w:cstheme="majorBidi" w:eastAsiaTheme="majorEastAsia" w:hAnsiTheme="majorHAnsi"/>
      <w:b/>
      <w:bCs/>
      <w:color w:val="4F81BD" w:themeColor="accent1"/>
      <w:sz w:val="26"/>
      <w:szCs w:val="26"/>
    </w:rPr>
  </w:style>
  <w:style w:type="character" w:styleId="Fontstyle01" w:customStyle="1">
    <w:name w:val="fontstyle01"/>
    <w:basedOn w:val="DefaultParagraphFont"/>
    <w:qFormat/>
    <w:rsid w:val="00903c02"/>
    <w:rPr>
      <w:rFonts w:ascii="Calibri" w:hAnsi="Calibri" w:cs="Calibri"/>
      <w:b w:val="false"/>
      <w:bCs w:val="false"/>
      <w:i w:val="false"/>
      <w:iCs w:val="false"/>
      <w:color w:val="365F91"/>
      <w:sz w:val="28"/>
      <w:szCs w:val="28"/>
    </w:rPr>
  </w:style>
  <w:style w:type="character" w:styleId="IndexLink">
    <w:name w:val="Index Link"/>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nBalonCaracter"/>
    <w:uiPriority w:val="99"/>
    <w:semiHidden/>
    <w:unhideWhenUsed/>
    <w:qFormat/>
    <w:rsid w:val="00b40e32"/>
    <w:pPr>
      <w:spacing w:lineRule="auto" w:line="240" w:before="0" w:after="0"/>
    </w:pPr>
    <w:rPr>
      <w:rFonts w:ascii="Tahoma" w:hAnsi="Tahoma" w:cs="Tahoma"/>
      <w:sz w:val="16"/>
      <w:szCs w:val="16"/>
    </w:rPr>
  </w:style>
  <w:style w:type="paragraph" w:styleId="ListParagraph">
    <w:name w:val="List Paragraph"/>
    <w:basedOn w:val="Normal"/>
    <w:uiPriority w:val="34"/>
    <w:qFormat/>
    <w:rsid w:val="008e28f0"/>
    <w:pPr>
      <w:spacing w:before="0" w:after="200"/>
      <w:ind w:left="720" w:hanging="0"/>
      <w:contextualSpacing/>
    </w:pPr>
    <w:rPr/>
  </w:style>
  <w:style w:type="paragraph" w:styleId="Header">
    <w:name w:val="Header"/>
    <w:basedOn w:val="Normal"/>
    <w:link w:val="AntetCaracter"/>
    <w:uiPriority w:val="99"/>
    <w:unhideWhenUsed/>
    <w:rsid w:val="008e28f0"/>
    <w:pPr>
      <w:tabs>
        <w:tab w:val="clear" w:pos="708"/>
        <w:tab w:val="center" w:pos="4536" w:leader="none"/>
        <w:tab w:val="right" w:pos="9072" w:leader="none"/>
      </w:tabs>
      <w:spacing w:lineRule="auto" w:line="240" w:before="0" w:after="0"/>
    </w:pPr>
    <w:rPr/>
  </w:style>
  <w:style w:type="paragraph" w:styleId="Footer">
    <w:name w:val="Footer"/>
    <w:basedOn w:val="Normal"/>
    <w:link w:val="SubsolCaracter"/>
    <w:uiPriority w:val="99"/>
    <w:unhideWhenUsed/>
    <w:rsid w:val="008e28f0"/>
    <w:pPr>
      <w:tabs>
        <w:tab w:val="clear" w:pos="708"/>
        <w:tab w:val="center" w:pos="4536" w:leader="none"/>
        <w:tab w:val="right" w:pos="9072" w:leader="none"/>
      </w:tabs>
      <w:spacing w:lineRule="auto" w:line="240" w:before="0" w:after="0"/>
    </w:pPr>
    <w:rPr/>
  </w:style>
  <w:style w:type="paragraph" w:styleId="Footnote">
    <w:name w:val="Footnote Text"/>
    <w:basedOn w:val="Normal"/>
    <w:link w:val="TextnotdesubsolCaracter"/>
    <w:uiPriority w:val="99"/>
    <w:unhideWhenUsed/>
    <w:qFormat/>
    <w:rsid w:val="008e28f0"/>
    <w:pPr>
      <w:spacing w:lineRule="auto" w:line="240" w:before="0" w:after="0"/>
    </w:pPr>
    <w:rPr>
      <w:sz w:val="20"/>
      <w:szCs w:val="20"/>
    </w:rPr>
  </w:style>
  <w:style w:type="paragraph" w:styleId="Char2" w:customStyle="1">
    <w:name w:val="Char2"/>
    <w:basedOn w:val="Normal"/>
    <w:link w:val="Referinnotdesubsol"/>
    <w:uiPriority w:val="99"/>
    <w:qFormat/>
    <w:rsid w:val="008e28f0"/>
    <w:pPr>
      <w:spacing w:lineRule="exact" w:line="240" w:before="0" w:after="160"/>
    </w:pPr>
    <w:rPr>
      <w:vertAlign w:val="superscript"/>
    </w:rPr>
  </w:style>
  <w:style w:type="paragraph" w:styleId="TOCHeading">
    <w:name w:val="TOC Heading"/>
    <w:basedOn w:val="Heading1"/>
    <w:next w:val="Normal"/>
    <w:uiPriority w:val="39"/>
    <w:semiHidden/>
    <w:unhideWhenUsed/>
    <w:qFormat/>
    <w:rsid w:val="00081897"/>
    <w:pPr/>
    <w:rPr>
      <w:lang w:val="en-US"/>
    </w:rPr>
  </w:style>
  <w:style w:type="paragraph" w:styleId="Contents1">
    <w:name w:val="TOC 1"/>
    <w:basedOn w:val="Normal"/>
    <w:next w:val="Normal"/>
    <w:autoRedefine/>
    <w:uiPriority w:val="39"/>
    <w:unhideWhenUsed/>
    <w:rsid w:val="00081897"/>
    <w:pPr>
      <w:spacing w:before="0" w:after="100"/>
    </w:pPr>
    <w:rPr/>
  </w:style>
  <w:style w:type="paragraph" w:styleId="Contents2">
    <w:name w:val="TOC 2"/>
    <w:basedOn w:val="Normal"/>
    <w:next w:val="Normal"/>
    <w:autoRedefine/>
    <w:uiPriority w:val="39"/>
    <w:unhideWhenUsed/>
    <w:rsid w:val="00081897"/>
    <w:pPr>
      <w:spacing w:before="0" w:after="100"/>
      <w:ind w:left="220" w:hanging="0"/>
    </w:pPr>
    <w:rPr/>
  </w:style>
  <w:style w:type="paragraph" w:styleId="NormalWeb">
    <w:name w:val="Normal (Web)"/>
    <w:basedOn w:val="Normal"/>
    <w:uiPriority w:val="99"/>
    <w:semiHidden/>
    <w:unhideWhenUsed/>
    <w:qFormat/>
    <w:rsid w:val="001201ed"/>
    <w:pPr>
      <w:spacing w:lineRule="auto" w:line="240" w:beforeAutospacing="1" w:afterAutospacing="1"/>
    </w:pPr>
    <w:rPr>
      <w:rFonts w:ascii="Times New Roman" w:hAnsi="Times New Roman" w:eastAsia="" w:cs="Times New Roman" w:eastAsiaTheme="minorEastAsia"/>
      <w:sz w:val="24"/>
      <w:szCs w:val="24"/>
      <w:lang w:eastAsia="ro-RO"/>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table" w:customStyle="1" w:styleId="Style1">
    <w:name w:val="Style1"/>
    <w:basedOn w:val="TabelProfesional"/>
    <w:uiPriority w:val="99"/>
    <w:qFormat/>
    <w:rsid w:val="007a14f6"/>
    <w:pPr>
      <w:spacing w:after="0" w:line="240" w:lineRule="auto"/>
    </w:p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Profesional">
    <w:name w:val="Table Professional"/>
    <w:basedOn w:val="TabelNormal"/>
    <w:uiPriority w:val="99"/>
    <w:semiHidden/>
    <w:unhideWhenUsed/>
    <w:rsid w:val="007a14f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gril">
    <w:name w:val="Table Grid"/>
    <w:basedOn w:val="TabelNormal"/>
    <w:uiPriority w:val="59"/>
    <w:rsid w:val="005713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5" Type="http://schemas.openxmlformats.org/officeDocument/2006/relationships/diagramColors" Target="diagrams/colors1.xml"/><Relationship Id="rId6" Type="http://schemas.microsoft.com/office/2007/relationships/diagramDrawing" Target="diagrams/drawing1.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chart" Target="charts/chart8.xml"/><Relationship Id="rId15" Type="http://schemas.openxmlformats.org/officeDocument/2006/relationships/chart" Target="charts/chart9.xml"/><Relationship Id="rId16" Type="http://schemas.openxmlformats.org/officeDocument/2006/relationships/chart" Target="charts/chart10.xml"/><Relationship Id="rId17" Type="http://schemas.openxmlformats.org/officeDocument/2006/relationships/chart" Target="charts/chart11.xml"/><Relationship Id="rId18" Type="http://schemas.openxmlformats.org/officeDocument/2006/relationships/chart" Target="charts/chart12.xml"/><Relationship Id="rId19" Type="http://schemas.openxmlformats.org/officeDocument/2006/relationships/chart" Target="charts/chart13.xml"/><Relationship Id="rId20" Type="http://schemas.openxmlformats.org/officeDocument/2006/relationships/chart" Target="charts/chart14.xml"/><Relationship Id="rId21" Type="http://schemas.openxmlformats.org/officeDocument/2006/relationships/chart" Target="charts/chart15.xml"/><Relationship Id="rId22" Type="http://schemas.openxmlformats.org/officeDocument/2006/relationships/chart" Target="charts/chart16.xml"/><Relationship Id="rId23" Type="http://schemas.openxmlformats.org/officeDocument/2006/relationships/chart" Target="charts/chart17.xml"/><Relationship Id="rId24" Type="http://schemas.openxmlformats.org/officeDocument/2006/relationships/chart" Target="charts/chart18.xm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notes" Target="footnote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
                </c:pt>
              </c:strCache>
            </c:strRef>
          </c:tx>
          <c:spPr>
            <a:solidFill>
              <a:srgbClr val="4f81b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2"/>
                <c:pt idx="0">
                  <c:v>Gender relevancy</c:v>
                </c:pt>
                <c:pt idx="1">
                  <c:v>Gender mainstreaming </c:v>
                </c:pt>
              </c:strCache>
            </c:strRef>
          </c:cat>
          <c:val>
            <c:numRef>
              <c:f>0</c:f>
              <c:numCache>
                <c:formatCode>General</c:formatCode>
                <c:ptCount val="2"/>
                <c:pt idx="0">
                  <c:v>3.5</c:v>
                </c:pt>
                <c:pt idx="1">
                  <c:v>1</c:v>
                </c:pt>
              </c:numCache>
            </c:numRef>
          </c:val>
        </c:ser>
        <c:gapWidth val="150"/>
        <c:overlap val="0"/>
        <c:axId val="9450870"/>
        <c:axId val="68536046"/>
      </c:barChart>
      <c:catAx>
        <c:axId val="9450870"/>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68536046"/>
        <c:crosses val="autoZero"/>
        <c:auto val="1"/>
        <c:lblAlgn val="ctr"/>
        <c:lblOffset val="100"/>
      </c:catAx>
      <c:valAx>
        <c:axId val="6853604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450870"/>
        <c:crosses val="autoZero"/>
      </c:valAx>
      <c:spPr>
        <a:solidFill>
          <a:srgbClr val="ffffff"/>
        </a:solidFill>
        <a:ln>
          <a:noFill/>
        </a:ln>
      </c:spPr>
    </c:plotArea>
    <c:plotVisOnly val="1"/>
    <c:dispBlanksAs val="gap"/>
  </c:chart>
  <c:spPr>
    <a:solidFill>
      <a:srgbClr val="ffffff"/>
    </a:solidFill>
    <a:ln w="25560">
      <a:solidFill>
        <a:srgbClr val="f79646"/>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Lbls>
            <c:numFmt formatCode="0\.0"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 Lesson 1</c:v>
                </c:pt>
                <c:pt idx="1">
                  <c:v>Grade V Lesson 2</c:v>
                </c:pt>
                <c:pt idx="2">
                  <c:v>Grade V Lesson 3</c:v>
                </c:pt>
                <c:pt idx="3">
                  <c:v>Grade V Lesson 4</c:v>
                </c:pt>
                <c:pt idx="4">
                  <c:v>Grade V Lesson 5</c:v>
                </c:pt>
                <c:pt idx="5">
                  <c:v>Grade V Lesson 6</c:v>
                </c:pt>
                <c:pt idx="6">
                  <c:v>Grade V Lesson 7</c:v>
                </c:pt>
                <c:pt idx="7">
                  <c:v>Grade V Lesson 8 </c:v>
                </c:pt>
                <c:pt idx="8">
                  <c:v>AVERAGE</c:v>
                </c:pt>
              </c:strCache>
            </c:strRef>
          </c:cat>
          <c:val>
            <c:numRef>
              <c:f>0</c:f>
              <c:numCache>
                <c:formatCode>General</c:formatCode>
                <c:ptCount val="9"/>
                <c:pt idx="0">
                  <c:v>2.5</c:v>
                </c:pt>
                <c:pt idx="1">
                  <c:v>3</c:v>
                </c:pt>
                <c:pt idx="2">
                  <c:v>2</c:v>
                </c:pt>
                <c:pt idx="3">
                  <c:v>2</c:v>
                </c:pt>
                <c:pt idx="4">
                  <c:v>3.5</c:v>
                </c:pt>
                <c:pt idx="5">
                  <c:v>2.5</c:v>
                </c:pt>
                <c:pt idx="6">
                  <c:v>2</c:v>
                </c:pt>
                <c:pt idx="7">
                  <c:v>3</c:v>
                </c:pt>
                <c:pt idx="8">
                  <c:v>2.5625</c:v>
                </c:pt>
              </c:numCache>
            </c:numRef>
          </c:val>
        </c:ser>
        <c:ser>
          <c:idx val="1"/>
          <c:order val="1"/>
          <c:tx>
            <c:strRef>
              <c:f>label 1</c:f>
              <c:strCache>
                <c:ptCount val="1"/>
                <c:pt idx="0">
                  <c:v>Gender Equality Mainstreaming</c:v>
                </c:pt>
              </c:strCache>
            </c:strRef>
          </c:tx>
          <c:spPr>
            <a:solidFill>
              <a:srgbClr val="c0504d"/>
            </a:solidFill>
            <a:ln>
              <a:noFill/>
            </a:ln>
          </c:spPr>
          <c:invertIfNegative val="0"/>
          <c:dLbls>
            <c:numFmt formatCode="0\.0"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 Lesson 1</c:v>
                </c:pt>
                <c:pt idx="1">
                  <c:v>Grade V Lesson 2</c:v>
                </c:pt>
                <c:pt idx="2">
                  <c:v>Grade V Lesson 3</c:v>
                </c:pt>
                <c:pt idx="3">
                  <c:v>Grade V Lesson 4</c:v>
                </c:pt>
                <c:pt idx="4">
                  <c:v>Grade V Lesson 5</c:v>
                </c:pt>
                <c:pt idx="5">
                  <c:v>Grade V Lesson 6</c:v>
                </c:pt>
                <c:pt idx="6">
                  <c:v>Grade V Lesson 7</c:v>
                </c:pt>
                <c:pt idx="7">
                  <c:v>Grade V Lesson 8 </c:v>
                </c:pt>
                <c:pt idx="8">
                  <c:v>AVERAGE</c:v>
                </c:pt>
              </c:strCache>
            </c:strRef>
          </c:cat>
          <c:val>
            <c:numRef>
              <c:f>1</c:f>
              <c:numCache>
                <c:formatCode>General</c:formatCode>
                <c:ptCount val="9"/>
                <c:pt idx="0">
                  <c:v>2</c:v>
                </c:pt>
                <c:pt idx="1">
                  <c:v>2</c:v>
                </c:pt>
                <c:pt idx="2">
                  <c:v>2</c:v>
                </c:pt>
                <c:pt idx="3">
                  <c:v>2</c:v>
                </c:pt>
                <c:pt idx="4">
                  <c:v>3.5</c:v>
                </c:pt>
                <c:pt idx="5">
                  <c:v>2.5</c:v>
                </c:pt>
                <c:pt idx="6">
                  <c:v>2</c:v>
                </c:pt>
                <c:pt idx="7">
                  <c:v>2.5</c:v>
                </c:pt>
                <c:pt idx="8">
                  <c:v>2.3125</c:v>
                </c:pt>
              </c:numCache>
            </c:numRef>
          </c:val>
        </c:ser>
        <c:gapWidth val="150"/>
        <c:overlap val="-25"/>
        <c:axId val="56041653"/>
        <c:axId val="97123111"/>
      </c:barChart>
      <c:catAx>
        <c:axId val="56041653"/>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7123111"/>
        <c:crosses val="autoZero"/>
        <c:auto val="1"/>
        <c:lblAlgn val="ctr"/>
        <c:lblOffset val="100"/>
      </c:catAx>
      <c:valAx>
        <c:axId val="97123111"/>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56041653"/>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8"/>
            <c:invertIfNegative val="0"/>
            <c:spPr>
              <a:solidFill>
                <a:srgbClr val="4f81b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VI Lesson 1</c:v>
                </c:pt>
                <c:pt idx="1">
                  <c:v>Grade VI Lesson 2</c:v>
                </c:pt>
                <c:pt idx="2">
                  <c:v>Grade VI Lesson 3</c:v>
                </c:pt>
                <c:pt idx="3">
                  <c:v>Grade VI Lesson 4</c:v>
                </c:pt>
                <c:pt idx="4">
                  <c:v>Grade VI Lesson 5</c:v>
                </c:pt>
                <c:pt idx="5">
                  <c:v>Grade VI Lesson 6</c:v>
                </c:pt>
                <c:pt idx="6">
                  <c:v>Grade VI Lesson 7</c:v>
                </c:pt>
                <c:pt idx="7">
                  <c:v>Grade VI Lesson 8 </c:v>
                </c:pt>
                <c:pt idx="8">
                  <c:v>AVERAGE</c:v>
                </c:pt>
              </c:strCache>
            </c:strRef>
          </c:cat>
          <c:val>
            <c:numRef>
              <c:f>0</c:f>
              <c:numCache>
                <c:formatCode>General</c:formatCode>
                <c:ptCount val="9"/>
                <c:pt idx="0">
                  <c:v>2</c:v>
                </c:pt>
                <c:pt idx="1">
                  <c:v>2</c:v>
                </c:pt>
                <c:pt idx="2">
                  <c:v>2</c:v>
                </c:pt>
                <c:pt idx="3">
                  <c:v>2.5</c:v>
                </c:pt>
                <c:pt idx="4">
                  <c:v>2</c:v>
                </c:pt>
                <c:pt idx="5">
                  <c:v>3</c:v>
                </c:pt>
                <c:pt idx="6">
                  <c:v>3</c:v>
                </c:pt>
                <c:pt idx="7">
                  <c:v>2.5</c:v>
                </c:pt>
                <c:pt idx="8">
                  <c:v>2.375</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8"/>
            <c:invertIfNegative val="0"/>
            <c:spPr>
              <a:solidFill>
                <a:srgbClr val="c0504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VI Lesson 1</c:v>
                </c:pt>
                <c:pt idx="1">
                  <c:v>Grade VI Lesson 2</c:v>
                </c:pt>
                <c:pt idx="2">
                  <c:v>Grade VI Lesson 3</c:v>
                </c:pt>
                <c:pt idx="3">
                  <c:v>Grade VI Lesson 4</c:v>
                </c:pt>
                <c:pt idx="4">
                  <c:v>Grade VI Lesson 5</c:v>
                </c:pt>
                <c:pt idx="5">
                  <c:v>Grade VI Lesson 6</c:v>
                </c:pt>
                <c:pt idx="6">
                  <c:v>Grade VI Lesson 7</c:v>
                </c:pt>
                <c:pt idx="7">
                  <c:v>Grade VI Lesson 8 </c:v>
                </c:pt>
                <c:pt idx="8">
                  <c:v>AVERAGE</c:v>
                </c:pt>
              </c:strCache>
            </c:strRef>
          </c:cat>
          <c:val>
            <c:numRef>
              <c:f>1</c:f>
              <c:numCache>
                <c:formatCode>General</c:formatCode>
                <c:ptCount val="9"/>
                <c:pt idx="0">
                  <c:v>2</c:v>
                </c:pt>
                <c:pt idx="1">
                  <c:v>2</c:v>
                </c:pt>
                <c:pt idx="2">
                  <c:v>1.5</c:v>
                </c:pt>
                <c:pt idx="3">
                  <c:v>2.5</c:v>
                </c:pt>
                <c:pt idx="4">
                  <c:v>2</c:v>
                </c:pt>
                <c:pt idx="5">
                  <c:v>2.5</c:v>
                </c:pt>
                <c:pt idx="6">
                  <c:v>3</c:v>
                </c:pt>
                <c:pt idx="7">
                  <c:v>2.5</c:v>
                </c:pt>
                <c:pt idx="8">
                  <c:v>2.25</c:v>
                </c:pt>
              </c:numCache>
            </c:numRef>
          </c:val>
        </c:ser>
        <c:gapWidth val="150"/>
        <c:overlap val="-25"/>
        <c:axId val="38649770"/>
        <c:axId val="47535150"/>
      </c:barChart>
      <c:catAx>
        <c:axId val="38649770"/>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47535150"/>
        <c:crosses val="autoZero"/>
        <c:auto val="1"/>
        <c:lblAlgn val="ctr"/>
        <c:lblOffset val="100"/>
      </c:catAx>
      <c:valAx>
        <c:axId val="47535150"/>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38649770"/>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8"/>
            <c:invertIfNegative val="0"/>
            <c:spPr>
              <a:solidFill>
                <a:srgbClr val="4f81b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VII Lesson 1</c:v>
                </c:pt>
                <c:pt idx="1">
                  <c:v>Grade VII Lesson 2</c:v>
                </c:pt>
                <c:pt idx="2">
                  <c:v>Grade VII Lesson 3</c:v>
                </c:pt>
                <c:pt idx="3">
                  <c:v>Grade VII Lesson 4</c:v>
                </c:pt>
                <c:pt idx="4">
                  <c:v>Grade VII Lesson 5</c:v>
                </c:pt>
                <c:pt idx="5">
                  <c:v>Grade VII Lesson 6</c:v>
                </c:pt>
                <c:pt idx="6">
                  <c:v>Grade VII Lesson 7</c:v>
                </c:pt>
                <c:pt idx="7">
                  <c:v>Grade VII Lesson 8 </c:v>
                </c:pt>
                <c:pt idx="8">
                  <c:v>AVERAGE</c:v>
                </c:pt>
              </c:strCache>
            </c:strRef>
          </c:cat>
          <c:val>
            <c:numRef>
              <c:f>0</c:f>
              <c:numCache>
                <c:formatCode>General</c:formatCode>
                <c:ptCount val="9"/>
                <c:pt idx="0">
                  <c:v>2</c:v>
                </c:pt>
                <c:pt idx="1">
                  <c:v>2.5</c:v>
                </c:pt>
                <c:pt idx="2">
                  <c:v>3</c:v>
                </c:pt>
                <c:pt idx="3">
                  <c:v>3</c:v>
                </c:pt>
                <c:pt idx="4">
                  <c:v>3.5</c:v>
                </c:pt>
                <c:pt idx="5">
                  <c:v>3</c:v>
                </c:pt>
                <c:pt idx="6">
                  <c:v>2</c:v>
                </c:pt>
                <c:pt idx="7">
                  <c:v>2</c:v>
                </c:pt>
                <c:pt idx="8">
                  <c:v>2.625</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8"/>
            <c:invertIfNegative val="0"/>
            <c:spPr>
              <a:solidFill>
                <a:srgbClr val="c0504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VII Lesson 1</c:v>
                </c:pt>
                <c:pt idx="1">
                  <c:v>Grade VII Lesson 2</c:v>
                </c:pt>
                <c:pt idx="2">
                  <c:v>Grade VII Lesson 3</c:v>
                </c:pt>
                <c:pt idx="3">
                  <c:v>Grade VII Lesson 4</c:v>
                </c:pt>
                <c:pt idx="4">
                  <c:v>Grade VII Lesson 5</c:v>
                </c:pt>
                <c:pt idx="5">
                  <c:v>Grade VII Lesson 6</c:v>
                </c:pt>
                <c:pt idx="6">
                  <c:v>Grade VII Lesson 7</c:v>
                </c:pt>
                <c:pt idx="7">
                  <c:v>Grade VII Lesson 8 </c:v>
                </c:pt>
                <c:pt idx="8">
                  <c:v>AVERAGE</c:v>
                </c:pt>
              </c:strCache>
            </c:strRef>
          </c:cat>
          <c:val>
            <c:numRef>
              <c:f>1</c:f>
              <c:numCache>
                <c:formatCode>General</c:formatCode>
                <c:ptCount val="9"/>
                <c:pt idx="0">
                  <c:v>2</c:v>
                </c:pt>
                <c:pt idx="1">
                  <c:v>2.5</c:v>
                </c:pt>
                <c:pt idx="2">
                  <c:v>2.5</c:v>
                </c:pt>
                <c:pt idx="3">
                  <c:v>2</c:v>
                </c:pt>
                <c:pt idx="4">
                  <c:v>3.5</c:v>
                </c:pt>
                <c:pt idx="5">
                  <c:v>3</c:v>
                </c:pt>
                <c:pt idx="6">
                  <c:v>2</c:v>
                </c:pt>
                <c:pt idx="7">
                  <c:v>2</c:v>
                </c:pt>
                <c:pt idx="8">
                  <c:v>2.4375</c:v>
                </c:pt>
              </c:numCache>
            </c:numRef>
          </c:val>
        </c:ser>
        <c:gapWidth val="150"/>
        <c:overlap val="-25"/>
        <c:axId val="89240865"/>
        <c:axId val="30469930"/>
      </c:barChart>
      <c:catAx>
        <c:axId val="89240865"/>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30469930"/>
        <c:crosses val="autoZero"/>
        <c:auto val="1"/>
        <c:lblAlgn val="ctr"/>
        <c:lblOffset val="100"/>
      </c:catAx>
      <c:valAx>
        <c:axId val="30469930"/>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89240865"/>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8"/>
            <c:invertIfNegative val="0"/>
            <c:spPr>
              <a:solidFill>
                <a:srgbClr val="4f81b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VIII Lesson 1</c:v>
                </c:pt>
                <c:pt idx="1">
                  <c:v>Grade VIII Lesson 2</c:v>
                </c:pt>
                <c:pt idx="2">
                  <c:v>Grade VIII Lesson 3</c:v>
                </c:pt>
                <c:pt idx="3">
                  <c:v>Grade VIII Lesson 4</c:v>
                </c:pt>
                <c:pt idx="4">
                  <c:v>Grade VIII Lesson 5</c:v>
                </c:pt>
                <c:pt idx="5">
                  <c:v>Grade VIII Lesson 6</c:v>
                </c:pt>
                <c:pt idx="6">
                  <c:v>Grade VIII Lesson 7</c:v>
                </c:pt>
                <c:pt idx="7">
                  <c:v>Grade VIII Lesson 8 </c:v>
                </c:pt>
                <c:pt idx="8">
                  <c:v>AVERAGE</c:v>
                </c:pt>
              </c:strCache>
            </c:strRef>
          </c:cat>
          <c:val>
            <c:numRef>
              <c:f>0</c:f>
              <c:numCache>
                <c:formatCode>General</c:formatCode>
                <c:ptCount val="9"/>
                <c:pt idx="0">
                  <c:v>2</c:v>
                </c:pt>
                <c:pt idx="1">
                  <c:v>3</c:v>
                </c:pt>
                <c:pt idx="2">
                  <c:v>3</c:v>
                </c:pt>
                <c:pt idx="3">
                  <c:v>2.5</c:v>
                </c:pt>
                <c:pt idx="4">
                  <c:v>2</c:v>
                </c:pt>
                <c:pt idx="5">
                  <c:v>2.5</c:v>
                </c:pt>
                <c:pt idx="6">
                  <c:v>2</c:v>
                </c:pt>
                <c:pt idx="7">
                  <c:v>2</c:v>
                </c:pt>
                <c:pt idx="8">
                  <c:v>2.375</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8"/>
            <c:invertIfNegative val="0"/>
            <c:spPr>
              <a:solidFill>
                <a:srgbClr val="c0504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VIII Lesson 1</c:v>
                </c:pt>
                <c:pt idx="1">
                  <c:v>Grade VIII Lesson 2</c:v>
                </c:pt>
                <c:pt idx="2">
                  <c:v>Grade VIII Lesson 3</c:v>
                </c:pt>
                <c:pt idx="3">
                  <c:v>Grade VIII Lesson 4</c:v>
                </c:pt>
                <c:pt idx="4">
                  <c:v>Grade VIII Lesson 5</c:v>
                </c:pt>
                <c:pt idx="5">
                  <c:v>Grade VIII Lesson 6</c:v>
                </c:pt>
                <c:pt idx="6">
                  <c:v>Grade VIII Lesson 7</c:v>
                </c:pt>
                <c:pt idx="7">
                  <c:v>Grade VIII Lesson 8 </c:v>
                </c:pt>
                <c:pt idx="8">
                  <c:v>AVERAGE</c:v>
                </c:pt>
              </c:strCache>
            </c:strRef>
          </c:cat>
          <c:val>
            <c:numRef>
              <c:f>1</c:f>
              <c:numCache>
                <c:formatCode>General</c:formatCode>
                <c:ptCount val="9"/>
                <c:pt idx="0">
                  <c:v>2</c:v>
                </c:pt>
                <c:pt idx="1">
                  <c:v>2.5</c:v>
                </c:pt>
                <c:pt idx="2">
                  <c:v>2.5</c:v>
                </c:pt>
                <c:pt idx="3">
                  <c:v>2.5</c:v>
                </c:pt>
                <c:pt idx="4">
                  <c:v>2</c:v>
                </c:pt>
                <c:pt idx="5">
                  <c:v>2</c:v>
                </c:pt>
                <c:pt idx="6">
                  <c:v>2</c:v>
                </c:pt>
                <c:pt idx="7">
                  <c:v>2</c:v>
                </c:pt>
                <c:pt idx="8">
                  <c:v>2.1875</c:v>
                </c:pt>
              </c:numCache>
            </c:numRef>
          </c:val>
        </c:ser>
        <c:gapWidth val="150"/>
        <c:overlap val="-25"/>
        <c:axId val="27741153"/>
        <c:axId val="36129824"/>
      </c:barChart>
      <c:catAx>
        <c:axId val="27741153"/>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36129824"/>
        <c:crosses val="autoZero"/>
        <c:auto val="1"/>
        <c:lblAlgn val="ctr"/>
        <c:lblOffset val="100"/>
      </c:catAx>
      <c:valAx>
        <c:axId val="36129824"/>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27741153"/>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8"/>
            <c:invertIfNegative val="0"/>
            <c:spPr>
              <a:solidFill>
                <a:srgbClr val="4f81b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IX Lesson 1</c:v>
                </c:pt>
                <c:pt idx="1">
                  <c:v>Grade IX Lesson 2</c:v>
                </c:pt>
                <c:pt idx="2">
                  <c:v>Grade IX Lesson 3</c:v>
                </c:pt>
                <c:pt idx="3">
                  <c:v>Grade IX Lesson 4</c:v>
                </c:pt>
                <c:pt idx="4">
                  <c:v>Grade IX Lesson 5</c:v>
                </c:pt>
                <c:pt idx="5">
                  <c:v>Grade IX Lesson 6</c:v>
                </c:pt>
                <c:pt idx="6">
                  <c:v>Grade IX Lesson 7</c:v>
                </c:pt>
                <c:pt idx="7">
                  <c:v>Grade IX Lesson 8 </c:v>
                </c:pt>
                <c:pt idx="8">
                  <c:v>AVERAGE</c:v>
                </c:pt>
              </c:strCache>
            </c:strRef>
          </c:cat>
          <c:val>
            <c:numRef>
              <c:f>0</c:f>
              <c:numCache>
                <c:formatCode>General</c:formatCode>
                <c:ptCount val="9"/>
                <c:pt idx="0">
                  <c:v>2</c:v>
                </c:pt>
                <c:pt idx="1">
                  <c:v>2.5</c:v>
                </c:pt>
                <c:pt idx="2">
                  <c:v>3</c:v>
                </c:pt>
                <c:pt idx="3">
                  <c:v>2.5</c:v>
                </c:pt>
                <c:pt idx="4">
                  <c:v>3.5</c:v>
                </c:pt>
                <c:pt idx="5">
                  <c:v>2</c:v>
                </c:pt>
                <c:pt idx="6">
                  <c:v>2</c:v>
                </c:pt>
                <c:pt idx="7">
                  <c:v>2.5</c:v>
                </c:pt>
                <c:pt idx="8">
                  <c:v>2.5</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8"/>
            <c:invertIfNegative val="0"/>
            <c:spPr>
              <a:solidFill>
                <a:srgbClr val="c0504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IX Lesson 1</c:v>
                </c:pt>
                <c:pt idx="1">
                  <c:v>Grade IX Lesson 2</c:v>
                </c:pt>
                <c:pt idx="2">
                  <c:v>Grade IX Lesson 3</c:v>
                </c:pt>
                <c:pt idx="3">
                  <c:v>Grade IX Lesson 4</c:v>
                </c:pt>
                <c:pt idx="4">
                  <c:v>Grade IX Lesson 5</c:v>
                </c:pt>
                <c:pt idx="5">
                  <c:v>Grade IX Lesson 6</c:v>
                </c:pt>
                <c:pt idx="6">
                  <c:v>Grade IX Lesson 7</c:v>
                </c:pt>
                <c:pt idx="7">
                  <c:v>Grade IX Lesson 8 </c:v>
                </c:pt>
                <c:pt idx="8">
                  <c:v>AVERAGE</c:v>
                </c:pt>
              </c:strCache>
            </c:strRef>
          </c:cat>
          <c:val>
            <c:numRef>
              <c:f>1</c:f>
              <c:numCache>
                <c:formatCode>General</c:formatCode>
                <c:ptCount val="9"/>
                <c:pt idx="0">
                  <c:v>2</c:v>
                </c:pt>
                <c:pt idx="1">
                  <c:v>1.5</c:v>
                </c:pt>
                <c:pt idx="2">
                  <c:v>2.5</c:v>
                </c:pt>
                <c:pt idx="3">
                  <c:v>2.5</c:v>
                </c:pt>
                <c:pt idx="4">
                  <c:v>3.5</c:v>
                </c:pt>
                <c:pt idx="5">
                  <c:v>2</c:v>
                </c:pt>
                <c:pt idx="6">
                  <c:v>2</c:v>
                </c:pt>
                <c:pt idx="7">
                  <c:v>2.5</c:v>
                </c:pt>
                <c:pt idx="8">
                  <c:v>2.3125</c:v>
                </c:pt>
              </c:numCache>
            </c:numRef>
          </c:val>
        </c:ser>
        <c:gapWidth val="150"/>
        <c:overlap val="-25"/>
        <c:axId val="10168202"/>
        <c:axId val="13028960"/>
      </c:barChart>
      <c:catAx>
        <c:axId val="10168202"/>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3028960"/>
        <c:crosses val="autoZero"/>
        <c:auto val="1"/>
        <c:lblAlgn val="ctr"/>
        <c:lblOffset val="100"/>
      </c:catAx>
      <c:valAx>
        <c:axId val="13028960"/>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10168202"/>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8"/>
            <c:invertIfNegative val="0"/>
            <c:spPr>
              <a:solidFill>
                <a:srgbClr val="4f81b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X Lesson 1</c:v>
                </c:pt>
                <c:pt idx="1">
                  <c:v>Grade X Lesson 2</c:v>
                </c:pt>
                <c:pt idx="2">
                  <c:v>Grade X Lesson 3</c:v>
                </c:pt>
                <c:pt idx="3">
                  <c:v>Grade X Lesson 4</c:v>
                </c:pt>
                <c:pt idx="4">
                  <c:v>Grade X Lesson 5</c:v>
                </c:pt>
                <c:pt idx="5">
                  <c:v>Grade X Lesson 6</c:v>
                </c:pt>
                <c:pt idx="6">
                  <c:v>Grade X Lesson 7</c:v>
                </c:pt>
                <c:pt idx="7">
                  <c:v>Grade X Lesson 8 </c:v>
                </c:pt>
                <c:pt idx="8">
                  <c:v>AVERAGE</c:v>
                </c:pt>
              </c:strCache>
            </c:strRef>
          </c:cat>
          <c:val>
            <c:numRef>
              <c:f>0</c:f>
              <c:numCache>
                <c:formatCode>General</c:formatCode>
                <c:ptCount val="9"/>
                <c:pt idx="0">
                  <c:v>2.5</c:v>
                </c:pt>
                <c:pt idx="1">
                  <c:v>3</c:v>
                </c:pt>
                <c:pt idx="2">
                  <c:v>2</c:v>
                </c:pt>
                <c:pt idx="3">
                  <c:v>2.5</c:v>
                </c:pt>
                <c:pt idx="4">
                  <c:v>2</c:v>
                </c:pt>
                <c:pt idx="5">
                  <c:v>2.5</c:v>
                </c:pt>
                <c:pt idx="6">
                  <c:v>2</c:v>
                </c:pt>
                <c:pt idx="7">
                  <c:v>2</c:v>
                </c:pt>
                <c:pt idx="8">
                  <c:v>2.3125</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8"/>
            <c:invertIfNegative val="0"/>
            <c:spPr>
              <a:solidFill>
                <a:srgbClr val="c0504d"/>
              </a:solidFill>
              <a:ln>
                <a:noFill/>
              </a:ln>
            </c:spPr>
          </c:dPt>
          <c:dLbls>
            <c:numFmt formatCode="0\.0" sourceLinked="1"/>
            <c:dLbl>
              <c:idx val="8"/>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X Lesson 1</c:v>
                </c:pt>
                <c:pt idx="1">
                  <c:v>Grade X Lesson 2</c:v>
                </c:pt>
                <c:pt idx="2">
                  <c:v>Grade X Lesson 3</c:v>
                </c:pt>
                <c:pt idx="3">
                  <c:v>Grade X Lesson 4</c:v>
                </c:pt>
                <c:pt idx="4">
                  <c:v>Grade X Lesson 5</c:v>
                </c:pt>
                <c:pt idx="5">
                  <c:v>Grade X Lesson 6</c:v>
                </c:pt>
                <c:pt idx="6">
                  <c:v>Grade X Lesson 7</c:v>
                </c:pt>
                <c:pt idx="7">
                  <c:v>Grade X Lesson 8 </c:v>
                </c:pt>
                <c:pt idx="8">
                  <c:v>AVERAGE</c:v>
                </c:pt>
              </c:strCache>
            </c:strRef>
          </c:cat>
          <c:val>
            <c:numRef>
              <c:f>1</c:f>
              <c:numCache>
                <c:formatCode>General</c:formatCode>
                <c:ptCount val="9"/>
                <c:pt idx="0">
                  <c:v>2.5</c:v>
                </c:pt>
                <c:pt idx="1">
                  <c:v>2</c:v>
                </c:pt>
                <c:pt idx="2">
                  <c:v>2</c:v>
                </c:pt>
                <c:pt idx="3">
                  <c:v>2</c:v>
                </c:pt>
                <c:pt idx="4">
                  <c:v>2</c:v>
                </c:pt>
                <c:pt idx="5">
                  <c:v>2.5</c:v>
                </c:pt>
                <c:pt idx="6">
                  <c:v>2</c:v>
                </c:pt>
                <c:pt idx="7">
                  <c:v>2</c:v>
                </c:pt>
                <c:pt idx="8">
                  <c:v>2.125</c:v>
                </c:pt>
              </c:numCache>
            </c:numRef>
          </c:val>
        </c:ser>
        <c:gapWidth val="150"/>
        <c:overlap val="-25"/>
        <c:axId val="67410524"/>
        <c:axId val="1888561"/>
      </c:barChart>
      <c:catAx>
        <c:axId val="67410524"/>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888561"/>
        <c:crosses val="autoZero"/>
        <c:auto val="1"/>
        <c:lblAlgn val="ctr"/>
        <c:lblOffset val="100"/>
      </c:catAx>
      <c:valAx>
        <c:axId val="1888561"/>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67410524"/>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9"/>
            <c:invertIfNegative val="0"/>
            <c:spPr>
              <a:solidFill>
                <a:srgbClr val="4f81bd"/>
              </a:solidFill>
              <a:ln>
                <a:noFill/>
              </a:ln>
            </c:spPr>
          </c:dPt>
          <c:dLbls>
            <c:numFmt formatCode="0\.0" sourceLinked="1"/>
            <c:dLbl>
              <c:idx val="9"/>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10"/>
                <c:pt idx="0">
                  <c:v>Grade XI Lesson 1</c:v>
                </c:pt>
                <c:pt idx="1">
                  <c:v>Grade XI Lesson 2</c:v>
                </c:pt>
                <c:pt idx="2">
                  <c:v>Grade XI Lesson 3</c:v>
                </c:pt>
                <c:pt idx="3">
                  <c:v>Grade XI Lesson 4</c:v>
                </c:pt>
                <c:pt idx="4">
                  <c:v>Grade XI Lesson 5</c:v>
                </c:pt>
                <c:pt idx="5">
                  <c:v>Grade XI Lesson 6</c:v>
                </c:pt>
                <c:pt idx="6">
                  <c:v>Grade XI Lesson 7</c:v>
                </c:pt>
                <c:pt idx="7">
                  <c:v>Grade XI Lesson 8 </c:v>
                </c:pt>
                <c:pt idx="8">
                  <c:v>Grade XI Lesson 9</c:v>
                </c:pt>
                <c:pt idx="9">
                  <c:v>AVERAGE</c:v>
                </c:pt>
              </c:strCache>
            </c:strRef>
          </c:cat>
          <c:val>
            <c:numRef>
              <c:f>0</c:f>
              <c:numCache>
                <c:formatCode>General</c:formatCode>
                <c:ptCount val="10"/>
                <c:pt idx="0">
                  <c:v>3</c:v>
                </c:pt>
                <c:pt idx="1">
                  <c:v>3</c:v>
                </c:pt>
                <c:pt idx="2">
                  <c:v>2</c:v>
                </c:pt>
                <c:pt idx="3">
                  <c:v>2.5</c:v>
                </c:pt>
                <c:pt idx="4">
                  <c:v>3</c:v>
                </c:pt>
                <c:pt idx="5">
                  <c:v>3</c:v>
                </c:pt>
                <c:pt idx="6">
                  <c:v>3</c:v>
                </c:pt>
                <c:pt idx="7">
                  <c:v>2.5</c:v>
                </c:pt>
                <c:pt idx="8">
                  <c:v>2</c:v>
                </c:pt>
                <c:pt idx="9">
                  <c:v>2.66666666666667</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9"/>
            <c:invertIfNegative val="0"/>
            <c:spPr>
              <a:solidFill>
                <a:srgbClr val="c0504d"/>
              </a:solidFill>
              <a:ln>
                <a:noFill/>
              </a:ln>
            </c:spPr>
          </c:dPt>
          <c:dLbls>
            <c:numFmt formatCode="0\.0" sourceLinked="1"/>
            <c:dLbl>
              <c:idx val="9"/>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10"/>
                <c:pt idx="0">
                  <c:v>Grade XI Lesson 1</c:v>
                </c:pt>
                <c:pt idx="1">
                  <c:v>Grade XI Lesson 2</c:v>
                </c:pt>
                <c:pt idx="2">
                  <c:v>Grade XI Lesson 3</c:v>
                </c:pt>
                <c:pt idx="3">
                  <c:v>Grade XI Lesson 4</c:v>
                </c:pt>
                <c:pt idx="4">
                  <c:v>Grade XI Lesson 5</c:v>
                </c:pt>
                <c:pt idx="5">
                  <c:v>Grade XI Lesson 6</c:v>
                </c:pt>
                <c:pt idx="6">
                  <c:v>Grade XI Lesson 7</c:v>
                </c:pt>
                <c:pt idx="7">
                  <c:v>Grade XI Lesson 8 </c:v>
                </c:pt>
                <c:pt idx="8">
                  <c:v>Grade XI Lesson 9</c:v>
                </c:pt>
                <c:pt idx="9">
                  <c:v>AVERAGE</c:v>
                </c:pt>
              </c:strCache>
            </c:strRef>
          </c:cat>
          <c:val>
            <c:numRef>
              <c:f>1</c:f>
              <c:numCache>
                <c:formatCode>General</c:formatCode>
                <c:ptCount val="10"/>
                <c:pt idx="0">
                  <c:v>2.5</c:v>
                </c:pt>
                <c:pt idx="1">
                  <c:v>2.5</c:v>
                </c:pt>
                <c:pt idx="2">
                  <c:v>2</c:v>
                </c:pt>
                <c:pt idx="3">
                  <c:v>2.5</c:v>
                </c:pt>
                <c:pt idx="4">
                  <c:v>3</c:v>
                </c:pt>
                <c:pt idx="5">
                  <c:v>2</c:v>
                </c:pt>
                <c:pt idx="6">
                  <c:v>2</c:v>
                </c:pt>
                <c:pt idx="7">
                  <c:v>2.5</c:v>
                </c:pt>
                <c:pt idx="8">
                  <c:v>2</c:v>
                </c:pt>
                <c:pt idx="9">
                  <c:v>2.33333333333333</c:v>
                </c:pt>
              </c:numCache>
            </c:numRef>
          </c:val>
        </c:ser>
        <c:gapWidth val="150"/>
        <c:overlap val="-25"/>
        <c:axId val="91611209"/>
        <c:axId val="17093593"/>
      </c:barChart>
      <c:catAx>
        <c:axId val="91611209"/>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7093593"/>
        <c:crosses val="autoZero"/>
        <c:auto val="1"/>
        <c:lblAlgn val="ctr"/>
        <c:lblOffset val="100"/>
      </c:catAx>
      <c:valAx>
        <c:axId val="17093593"/>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91611209"/>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7.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Pt>
            <c:idx val="9"/>
            <c:invertIfNegative val="0"/>
            <c:spPr>
              <a:solidFill>
                <a:srgbClr val="4f81bd"/>
              </a:solidFill>
              <a:ln>
                <a:noFill/>
              </a:ln>
            </c:spPr>
          </c:dPt>
          <c:dLbls>
            <c:numFmt formatCode="0\.0" sourceLinked="1"/>
            <c:dLbl>
              <c:idx val="9"/>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10"/>
                <c:pt idx="0">
                  <c:v>Grade XI Lesson 1</c:v>
                </c:pt>
                <c:pt idx="1">
                  <c:v>Grade XI Lesson 2</c:v>
                </c:pt>
                <c:pt idx="2">
                  <c:v>Grade XI Lesson 3</c:v>
                </c:pt>
                <c:pt idx="3">
                  <c:v>Grade XI Lesson 4</c:v>
                </c:pt>
                <c:pt idx="4">
                  <c:v>Grade XI Lesson 5</c:v>
                </c:pt>
                <c:pt idx="5">
                  <c:v>Grade XI Lesson 6</c:v>
                </c:pt>
                <c:pt idx="6">
                  <c:v>Grade XI Lesson 7</c:v>
                </c:pt>
                <c:pt idx="7">
                  <c:v>Grade XI Lesson 8 </c:v>
                </c:pt>
                <c:pt idx="8">
                  <c:v>Grade XI Lesson 9</c:v>
                </c:pt>
                <c:pt idx="9">
                  <c:v>AVERAGE</c:v>
                </c:pt>
              </c:strCache>
            </c:strRef>
          </c:cat>
          <c:val>
            <c:numRef>
              <c:f>0</c:f>
              <c:numCache>
                <c:formatCode>General</c:formatCode>
                <c:ptCount val="10"/>
                <c:pt idx="0">
                  <c:v>1.5</c:v>
                </c:pt>
                <c:pt idx="1">
                  <c:v>2</c:v>
                </c:pt>
                <c:pt idx="2">
                  <c:v>2</c:v>
                </c:pt>
                <c:pt idx="3">
                  <c:v>3</c:v>
                </c:pt>
                <c:pt idx="4">
                  <c:v>3.5</c:v>
                </c:pt>
                <c:pt idx="5">
                  <c:v>3</c:v>
                </c:pt>
                <c:pt idx="6">
                  <c:v>3.5</c:v>
                </c:pt>
                <c:pt idx="7">
                  <c:v>2.5</c:v>
                </c:pt>
                <c:pt idx="8">
                  <c:v>2</c:v>
                </c:pt>
                <c:pt idx="9">
                  <c:v>2.55555555555556</c:v>
                </c:pt>
              </c:numCache>
            </c:numRef>
          </c:val>
        </c:ser>
        <c:ser>
          <c:idx val="1"/>
          <c:order val="1"/>
          <c:tx>
            <c:strRef>
              <c:f>label 1</c:f>
              <c:strCache>
                <c:ptCount val="1"/>
                <c:pt idx="0">
                  <c:v>Gender Equality Mainstreaming</c:v>
                </c:pt>
              </c:strCache>
            </c:strRef>
          </c:tx>
          <c:spPr>
            <a:solidFill>
              <a:srgbClr val="c0504d"/>
            </a:solidFill>
            <a:ln>
              <a:noFill/>
            </a:ln>
          </c:spPr>
          <c:invertIfNegative val="0"/>
          <c:dPt>
            <c:idx val="9"/>
            <c:invertIfNegative val="0"/>
            <c:spPr>
              <a:solidFill>
                <a:srgbClr val="c0504d"/>
              </a:solidFill>
              <a:ln>
                <a:noFill/>
              </a:ln>
            </c:spPr>
          </c:dPt>
          <c:dLbls>
            <c:numFmt formatCode="0\.0" sourceLinked="1"/>
            <c:dLbl>
              <c:idx val="9"/>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10"/>
                <c:pt idx="0">
                  <c:v>Grade XI Lesson 1</c:v>
                </c:pt>
                <c:pt idx="1">
                  <c:v>Grade XI Lesson 2</c:v>
                </c:pt>
                <c:pt idx="2">
                  <c:v>Grade XI Lesson 3</c:v>
                </c:pt>
                <c:pt idx="3">
                  <c:v>Grade XI Lesson 4</c:v>
                </c:pt>
                <c:pt idx="4">
                  <c:v>Grade XI Lesson 5</c:v>
                </c:pt>
                <c:pt idx="5">
                  <c:v>Grade XI Lesson 6</c:v>
                </c:pt>
                <c:pt idx="6">
                  <c:v>Grade XI Lesson 7</c:v>
                </c:pt>
                <c:pt idx="7">
                  <c:v>Grade XI Lesson 8 </c:v>
                </c:pt>
                <c:pt idx="8">
                  <c:v>Grade XI Lesson 9</c:v>
                </c:pt>
                <c:pt idx="9">
                  <c:v>AVERAGE</c:v>
                </c:pt>
              </c:strCache>
            </c:strRef>
          </c:cat>
          <c:val>
            <c:numRef>
              <c:f>1</c:f>
              <c:numCache>
                <c:formatCode>General</c:formatCode>
                <c:ptCount val="10"/>
                <c:pt idx="0">
                  <c:v>1.5</c:v>
                </c:pt>
                <c:pt idx="1">
                  <c:v>2</c:v>
                </c:pt>
                <c:pt idx="2">
                  <c:v>2</c:v>
                </c:pt>
                <c:pt idx="3">
                  <c:v>3</c:v>
                </c:pt>
                <c:pt idx="4">
                  <c:v>3.5</c:v>
                </c:pt>
                <c:pt idx="5">
                  <c:v>2</c:v>
                </c:pt>
                <c:pt idx="6">
                  <c:v>3</c:v>
                </c:pt>
                <c:pt idx="7">
                  <c:v>2</c:v>
                </c:pt>
                <c:pt idx="8">
                  <c:v>2</c:v>
                </c:pt>
                <c:pt idx="9">
                  <c:v>2.33333333333333</c:v>
                </c:pt>
              </c:numCache>
            </c:numRef>
          </c:val>
        </c:ser>
        <c:gapWidth val="150"/>
        <c:overlap val="-25"/>
        <c:axId val="41647391"/>
        <c:axId val="88860745"/>
      </c:barChart>
      <c:catAx>
        <c:axId val="41647391"/>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88860745"/>
        <c:crosses val="autoZero"/>
        <c:auto val="1"/>
        <c:lblAlgn val="ctr"/>
        <c:lblOffset val="100"/>
      </c:catAx>
      <c:valAx>
        <c:axId val="88860745"/>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41647391"/>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18.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Lbls>
            <c:numFmt formatCode="0\.0"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12"/>
                <c:pt idx="0">
                  <c:v> Lesson 1</c:v>
                </c:pt>
                <c:pt idx="1">
                  <c:v>Lesson 2</c:v>
                </c:pt>
                <c:pt idx="2">
                  <c:v>Lesson 3</c:v>
                </c:pt>
                <c:pt idx="3">
                  <c:v>Lesson 4</c:v>
                </c:pt>
                <c:pt idx="4">
                  <c:v>Lesson 5</c:v>
                </c:pt>
                <c:pt idx="5">
                  <c:v>Lesson 6</c:v>
                </c:pt>
                <c:pt idx="6">
                  <c:v>Lesson 7</c:v>
                </c:pt>
                <c:pt idx="7">
                  <c:v>Lesson 8 </c:v>
                </c:pt>
                <c:pt idx="8">
                  <c:v>Lesson 9</c:v>
                </c:pt>
                <c:pt idx="9">
                  <c:v>Lesson 10</c:v>
                </c:pt>
                <c:pt idx="10">
                  <c:v>Lesson 11-12</c:v>
                </c:pt>
                <c:pt idx="11">
                  <c:v>AVERAGE</c:v>
                </c:pt>
              </c:strCache>
            </c:strRef>
          </c:cat>
          <c:val>
            <c:numRef>
              <c:f>0</c:f>
              <c:numCache>
                <c:formatCode>General</c:formatCode>
                <c:ptCount val="12"/>
                <c:pt idx="0">
                  <c:v>2</c:v>
                </c:pt>
                <c:pt idx="1">
                  <c:v>2.5</c:v>
                </c:pt>
                <c:pt idx="2">
                  <c:v>2.5</c:v>
                </c:pt>
                <c:pt idx="3">
                  <c:v>3</c:v>
                </c:pt>
                <c:pt idx="4">
                  <c:v>3</c:v>
                </c:pt>
                <c:pt idx="5">
                  <c:v>3</c:v>
                </c:pt>
                <c:pt idx="6">
                  <c:v>2</c:v>
                </c:pt>
                <c:pt idx="7">
                  <c:v>3</c:v>
                </c:pt>
                <c:pt idx="8">
                  <c:v>3</c:v>
                </c:pt>
                <c:pt idx="9">
                  <c:v>2</c:v>
                </c:pt>
                <c:pt idx="10">
                  <c:v>2</c:v>
                </c:pt>
                <c:pt idx="11">
                  <c:v>2.54545454545455</c:v>
                </c:pt>
              </c:numCache>
            </c:numRef>
          </c:val>
        </c:ser>
        <c:ser>
          <c:idx val="1"/>
          <c:order val="1"/>
          <c:tx>
            <c:strRef>
              <c:f>label 1</c:f>
              <c:strCache>
                <c:ptCount val="1"/>
                <c:pt idx="0">
                  <c:v>Gender Equality Mainstreaming</c:v>
                </c:pt>
              </c:strCache>
            </c:strRef>
          </c:tx>
          <c:spPr>
            <a:solidFill>
              <a:srgbClr val="c0504d"/>
            </a:solidFill>
            <a:ln>
              <a:noFill/>
            </a:ln>
          </c:spPr>
          <c:invertIfNegative val="0"/>
          <c:dLbls>
            <c:numFmt formatCode="0\.0"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12"/>
                <c:pt idx="0">
                  <c:v> Lesson 1</c:v>
                </c:pt>
                <c:pt idx="1">
                  <c:v>Lesson 2</c:v>
                </c:pt>
                <c:pt idx="2">
                  <c:v>Lesson 3</c:v>
                </c:pt>
                <c:pt idx="3">
                  <c:v>Lesson 4</c:v>
                </c:pt>
                <c:pt idx="4">
                  <c:v>Lesson 5</c:v>
                </c:pt>
                <c:pt idx="5">
                  <c:v>Lesson 6</c:v>
                </c:pt>
                <c:pt idx="6">
                  <c:v>Lesson 7</c:v>
                </c:pt>
                <c:pt idx="7">
                  <c:v>Lesson 8 </c:v>
                </c:pt>
                <c:pt idx="8">
                  <c:v>Lesson 9</c:v>
                </c:pt>
                <c:pt idx="9">
                  <c:v>Lesson 10</c:v>
                </c:pt>
                <c:pt idx="10">
                  <c:v>Lesson 11-12</c:v>
                </c:pt>
                <c:pt idx="11">
                  <c:v>AVERAGE</c:v>
                </c:pt>
              </c:strCache>
            </c:strRef>
          </c:cat>
          <c:val>
            <c:numRef>
              <c:f>1</c:f>
              <c:numCache>
                <c:formatCode>General</c:formatCode>
                <c:ptCount val="12"/>
                <c:pt idx="0">
                  <c:v>2</c:v>
                </c:pt>
                <c:pt idx="1">
                  <c:v>2</c:v>
                </c:pt>
                <c:pt idx="2">
                  <c:v>2.5</c:v>
                </c:pt>
                <c:pt idx="3">
                  <c:v>2</c:v>
                </c:pt>
                <c:pt idx="4">
                  <c:v>2.5</c:v>
                </c:pt>
                <c:pt idx="5">
                  <c:v>2.5</c:v>
                </c:pt>
                <c:pt idx="6">
                  <c:v>2</c:v>
                </c:pt>
                <c:pt idx="7">
                  <c:v>2</c:v>
                </c:pt>
                <c:pt idx="8">
                  <c:v>2.5</c:v>
                </c:pt>
                <c:pt idx="9">
                  <c:v>2</c:v>
                </c:pt>
                <c:pt idx="10">
                  <c:v>2</c:v>
                </c:pt>
                <c:pt idx="11">
                  <c:v>2.18181818181818</c:v>
                </c:pt>
              </c:numCache>
            </c:numRef>
          </c:val>
        </c:ser>
        <c:gapWidth val="150"/>
        <c:overlap val="-25"/>
        <c:axId val="93496363"/>
        <c:axId val="2152969"/>
      </c:barChart>
      <c:catAx>
        <c:axId val="93496363"/>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900" spc="-1" strike="noStrike">
                <a:solidFill>
                  <a:srgbClr val="000000"/>
                </a:solidFill>
                <a:latin typeface="Calibri"/>
              </a:defRPr>
            </a:pPr>
          </a:p>
        </c:txPr>
        <c:crossAx val="2152969"/>
        <c:crosses val="autoZero"/>
        <c:auto val="1"/>
        <c:lblAlgn val="ctr"/>
        <c:lblOffset val="100"/>
      </c:catAx>
      <c:valAx>
        <c:axId val="2152969"/>
        <c:scaling>
          <c:orientation val="minMax"/>
        </c:scaling>
        <c:delete val="1"/>
        <c:axPos val="l"/>
        <c:numFmt formatCode="0\.0"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93496363"/>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
                </c:pt>
              </c:strCache>
            </c:strRef>
          </c:tx>
          <c:spPr>
            <a:solidFill>
              <a:srgbClr val="c0504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2"/>
                <c:pt idx="0">
                  <c:v>Gender relevancy</c:v>
                </c:pt>
                <c:pt idx="1">
                  <c:v>Gender mainstreaming </c:v>
                </c:pt>
              </c:strCache>
            </c:strRef>
          </c:cat>
          <c:val>
            <c:numRef>
              <c:f>0</c:f>
              <c:numCache>
                <c:formatCode>General</c:formatCode>
                <c:ptCount val="2"/>
                <c:pt idx="0">
                  <c:v>2.5</c:v>
                </c:pt>
                <c:pt idx="1">
                  <c:v>2</c:v>
                </c:pt>
              </c:numCache>
            </c:numRef>
          </c:val>
        </c:ser>
        <c:gapWidth val="150"/>
        <c:overlap val="0"/>
        <c:axId val="40641331"/>
        <c:axId val="11700958"/>
      </c:barChart>
      <c:catAx>
        <c:axId val="40641331"/>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1700958"/>
        <c:crosses val="autoZero"/>
        <c:auto val="1"/>
        <c:lblAlgn val="ctr"/>
        <c:lblOffset val="100"/>
      </c:catAx>
      <c:valAx>
        <c:axId val="1170095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40641331"/>
        <c:crosses val="autoZero"/>
      </c:valAx>
      <c:spPr>
        <a:solidFill>
          <a:srgbClr val="ffffff"/>
        </a:solidFill>
        <a:ln>
          <a:noFill/>
        </a:ln>
      </c:spPr>
    </c:plotArea>
    <c:plotVisOnly val="1"/>
    <c:dispBlanksAs val="gap"/>
  </c:chart>
  <c:spPr>
    <a:solidFill>
      <a:srgbClr val="ffffff"/>
    </a:solidFill>
    <a:ln w="25560">
      <a:solidFill>
        <a:srgbClr val="f79646"/>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Girls</c:v>
                </c:pt>
              </c:strCache>
            </c:strRef>
          </c:tx>
          <c:spPr>
            <a:solidFill>
              <a:srgbClr val="4f81b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Mathematics </c:v>
                </c:pt>
                <c:pt idx="1">
                  <c:v>Romanian Language</c:v>
                </c:pt>
                <c:pt idx="2">
                  <c:v>Russian Language </c:v>
                </c:pt>
              </c:strCache>
            </c:strRef>
          </c:cat>
          <c:val>
            <c:numRef>
              <c:f>0</c:f>
              <c:numCache>
                <c:formatCode>General</c:formatCode>
                <c:ptCount val="3"/>
                <c:pt idx="0">
                  <c:v>70.3</c:v>
                </c:pt>
                <c:pt idx="1">
                  <c:v>69.4</c:v>
                </c:pt>
                <c:pt idx="2">
                  <c:v>70.2</c:v>
                </c:pt>
              </c:numCache>
            </c:numRef>
          </c:val>
        </c:ser>
        <c:ser>
          <c:idx val="1"/>
          <c:order val="1"/>
          <c:tx>
            <c:strRef>
              <c:f>label 1</c:f>
              <c:strCache>
                <c:ptCount val="1"/>
                <c:pt idx="0">
                  <c:v>Boys</c:v>
                </c:pt>
              </c:strCache>
            </c:strRef>
          </c:tx>
          <c:spPr>
            <a:solidFill>
              <a:srgbClr val="c0504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Mathematics </c:v>
                </c:pt>
                <c:pt idx="1">
                  <c:v>Romanian Language</c:v>
                </c:pt>
                <c:pt idx="2">
                  <c:v>Russian Language </c:v>
                </c:pt>
              </c:strCache>
            </c:strRef>
          </c:cat>
          <c:val>
            <c:numRef>
              <c:f>1</c:f>
              <c:numCache>
                <c:formatCode>General</c:formatCode>
                <c:ptCount val="3"/>
                <c:pt idx="0">
                  <c:v>63.1</c:v>
                </c:pt>
                <c:pt idx="1">
                  <c:v>57.9</c:v>
                </c:pt>
                <c:pt idx="2">
                  <c:v>62</c:v>
                </c:pt>
              </c:numCache>
            </c:numRef>
          </c:val>
        </c:ser>
        <c:gapWidth val="150"/>
        <c:overlap val="0"/>
        <c:axId val="61300259"/>
        <c:axId val="16903986"/>
      </c:barChart>
      <c:catAx>
        <c:axId val="61300259"/>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6903986"/>
        <c:crosses val="autoZero"/>
        <c:auto val="1"/>
        <c:lblAlgn val="ctr"/>
        <c:lblOffset val="100"/>
      </c:catAx>
      <c:valAx>
        <c:axId val="1690398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61300259"/>
        <c:crosses val="autoZero"/>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gaps in IX grade</c:v>
                </c:pt>
              </c:strCache>
            </c:strRef>
          </c:tx>
          <c:spPr>
            <a:solidFill>
              <a:srgbClr val="dc853e"/>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Mathematics </c:v>
                </c:pt>
                <c:pt idx="1">
                  <c:v>Romanian Language</c:v>
                </c:pt>
                <c:pt idx="2">
                  <c:v>Russian Language </c:v>
                </c:pt>
              </c:strCache>
            </c:strRef>
          </c:cat>
          <c:val>
            <c:numRef>
              <c:f>0</c:f>
              <c:numCache>
                <c:formatCode>General</c:formatCode>
                <c:ptCount val="3"/>
                <c:pt idx="0">
                  <c:v>7.2</c:v>
                </c:pt>
                <c:pt idx="1">
                  <c:v>11.5</c:v>
                </c:pt>
                <c:pt idx="2">
                  <c:v>8.2</c:v>
                </c:pt>
              </c:numCache>
            </c:numRef>
          </c:val>
        </c:ser>
        <c:ser>
          <c:idx val="1"/>
          <c:order val="1"/>
          <c:tx>
            <c:strRef>
              <c:f>label 1</c:f>
              <c:strCache>
                <c:ptCount val="1"/>
                <c:pt idx="0">
                  <c:v>Gender gaps in IV grade</c:v>
                </c:pt>
              </c:strCache>
            </c:strRef>
          </c:tx>
          <c:spPr>
            <a:solidFill>
              <a:srgbClr val="4f81b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Mathematics </c:v>
                </c:pt>
                <c:pt idx="1">
                  <c:v>Romanian Language</c:v>
                </c:pt>
                <c:pt idx="2">
                  <c:v>Russian Language </c:v>
                </c:pt>
              </c:strCache>
            </c:strRef>
          </c:cat>
          <c:val>
            <c:numRef>
              <c:f>1</c:f>
              <c:numCache>
                <c:formatCode>General</c:formatCode>
                <c:ptCount val="3"/>
                <c:pt idx="0">
                  <c:v>2.5</c:v>
                </c:pt>
                <c:pt idx="1">
                  <c:v>5.7</c:v>
                </c:pt>
                <c:pt idx="2">
                  <c:v>5.4</c:v>
                </c:pt>
              </c:numCache>
            </c:numRef>
          </c:val>
        </c:ser>
        <c:gapWidth val="150"/>
        <c:overlap val="-25"/>
        <c:axId val="22106435"/>
        <c:axId val="60632407"/>
      </c:barChart>
      <c:catAx>
        <c:axId val="22106435"/>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60632407"/>
        <c:crosses val="autoZero"/>
        <c:auto val="1"/>
        <c:lblAlgn val="ctr"/>
        <c:lblOffset val="100"/>
      </c:catAx>
      <c:valAx>
        <c:axId val="60632407"/>
        <c:scaling>
          <c:orientation val="minMax"/>
        </c:scaling>
        <c:delete val="1"/>
        <c:axPos val="l"/>
        <c:numFmt formatCode="General"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22106435"/>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gilrs </c:v>
                </c:pt>
              </c:strCache>
            </c:strRef>
          </c:tx>
          <c:spPr>
            <a:solidFill>
              <a:srgbClr val="4299b0"/>
            </a:solidFill>
            <a:ln>
              <a:noFill/>
            </a:ln>
          </c:spPr>
          <c:invertIfNegative val="0"/>
          <c:dLbls>
            <c:numFmt formatCode="0\.0"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focus on my career </c:v>
                </c:pt>
                <c:pt idx="1">
                  <c:v> create a family</c:v>
                </c:pt>
                <c:pt idx="2">
                  <c:v>make money </c:v>
                </c:pt>
              </c:strCache>
            </c:strRef>
          </c:cat>
          <c:val>
            <c:numRef>
              <c:f>0</c:f>
              <c:numCache>
                <c:formatCode>General</c:formatCode>
                <c:ptCount val="3"/>
                <c:pt idx="0">
                  <c:v>24.7</c:v>
                </c:pt>
                <c:pt idx="1">
                  <c:v>65.7</c:v>
                </c:pt>
                <c:pt idx="2">
                  <c:v>7.9</c:v>
                </c:pt>
              </c:numCache>
            </c:numRef>
          </c:val>
        </c:ser>
        <c:ser>
          <c:idx val="1"/>
          <c:order val="1"/>
          <c:tx>
            <c:strRef>
              <c:f>label 1</c:f>
              <c:strCache>
                <c:ptCount val="1"/>
                <c:pt idx="0">
                  <c:v>boys</c:v>
                </c:pt>
              </c:strCache>
            </c:strRef>
          </c:tx>
          <c:spPr>
            <a:solidFill>
              <a:srgbClr val="fcd5b5"/>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focus on my career </c:v>
                </c:pt>
                <c:pt idx="1">
                  <c:v> create a family</c:v>
                </c:pt>
                <c:pt idx="2">
                  <c:v>make money </c:v>
                </c:pt>
              </c:strCache>
            </c:strRef>
          </c:cat>
          <c:val>
            <c:numRef>
              <c:f>1</c:f>
              <c:numCache>
                <c:formatCode>General</c:formatCode>
                <c:ptCount val="3"/>
                <c:pt idx="0">
                  <c:v>28.7</c:v>
                </c:pt>
                <c:pt idx="1">
                  <c:v>34.2</c:v>
                </c:pt>
                <c:pt idx="2">
                  <c:v>34.8</c:v>
                </c:pt>
              </c:numCache>
            </c:numRef>
          </c:val>
        </c:ser>
        <c:gapWidth val="150"/>
        <c:overlap val="0"/>
        <c:axId val="45369343"/>
        <c:axId val="72151894"/>
      </c:barChart>
      <c:catAx>
        <c:axId val="45369343"/>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72151894"/>
        <c:crosses val="autoZero"/>
        <c:auto val="1"/>
        <c:lblAlgn val="ctr"/>
        <c:lblOffset val="100"/>
      </c:catAx>
      <c:valAx>
        <c:axId val="7215189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45369343"/>
        <c:crosses val="autoZero"/>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bar"/>
        <c:grouping val="clustered"/>
        <c:varyColors val="0"/>
        <c:ser>
          <c:idx val="0"/>
          <c:order val="0"/>
          <c:tx>
            <c:strRef>
              <c:f>label 0</c:f>
              <c:strCache>
                <c:ptCount val="1"/>
                <c:pt idx="0">
                  <c:v>Math </c:v>
                </c:pt>
              </c:strCache>
            </c:strRef>
          </c:tx>
          <c:spPr>
            <a:solidFill>
              <a:srgbClr val="4f81bd"/>
            </a:solidFill>
            <a:ln>
              <a:noFill/>
            </a:ln>
          </c:spPr>
          <c:invertIfNegative val="0"/>
          <c:dLbls>
            <c:numFmt formatCode="General" sourceLinked="1"/>
            <c:txPr>
              <a:bodyPr/>
              <a:lstStyle/>
              <a:p>
                <a:pPr>
                  <a:defRPr b="0" sz="8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8"/>
                <c:pt idx="0">
                  <c:v>Agriculture</c:v>
                </c:pt>
                <c:pt idx="1">
                  <c:v>Retail</c:v>
                </c:pt>
                <c:pt idx="2">
                  <c:v>Education</c:v>
                </c:pt>
                <c:pt idx="3">
                  <c:v>Health </c:v>
                </c:pt>
                <c:pt idx="4">
                  <c:v>Industry</c:v>
                </c:pt>
                <c:pt idx="5">
                  <c:v>Contruction</c:v>
                </c:pt>
                <c:pt idx="6">
                  <c:v>Justice</c:v>
                </c:pt>
                <c:pt idx="7">
                  <c:v>Business</c:v>
                </c:pt>
              </c:strCache>
            </c:strRef>
          </c:cat>
          <c:val>
            <c:numRef>
              <c:f>0</c:f>
              <c:numCache>
                <c:formatCode>General</c:formatCode>
                <c:ptCount val="8"/>
                <c:pt idx="0">
                  <c:v>55.9</c:v>
                </c:pt>
                <c:pt idx="1">
                  <c:v>67.9</c:v>
                </c:pt>
                <c:pt idx="2">
                  <c:v>70.5</c:v>
                </c:pt>
                <c:pt idx="3">
                  <c:v>76.1</c:v>
                </c:pt>
                <c:pt idx="4">
                  <c:v>65.8</c:v>
                </c:pt>
                <c:pt idx="5">
                  <c:v>57.1</c:v>
                </c:pt>
                <c:pt idx="6">
                  <c:v>73.9</c:v>
                </c:pt>
                <c:pt idx="7">
                  <c:v>72</c:v>
                </c:pt>
              </c:numCache>
            </c:numRef>
          </c:val>
        </c:ser>
        <c:ser>
          <c:idx val="1"/>
          <c:order val="1"/>
          <c:tx>
            <c:strRef>
              <c:f>label 1</c:f>
              <c:strCache>
                <c:ptCount val="1"/>
                <c:pt idx="0">
                  <c:v>Romanian language</c:v>
                </c:pt>
              </c:strCache>
            </c:strRef>
          </c:tx>
          <c:spPr>
            <a:solidFill>
              <a:srgbClr val="c0504d"/>
            </a:solidFill>
            <a:ln>
              <a:noFill/>
            </a:ln>
          </c:spPr>
          <c:invertIfNegative val="0"/>
          <c:dLbls>
            <c:numFmt formatCode="General" sourceLinked="1"/>
            <c:txPr>
              <a:bodyPr/>
              <a:lstStyle/>
              <a:p>
                <a:pPr>
                  <a:defRPr b="0" sz="8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8"/>
                <c:pt idx="0">
                  <c:v>Agriculture</c:v>
                </c:pt>
                <c:pt idx="1">
                  <c:v>Retail</c:v>
                </c:pt>
                <c:pt idx="2">
                  <c:v>Education</c:v>
                </c:pt>
                <c:pt idx="3">
                  <c:v>Health </c:v>
                </c:pt>
                <c:pt idx="4">
                  <c:v>Industry</c:v>
                </c:pt>
                <c:pt idx="5">
                  <c:v>Contruction</c:v>
                </c:pt>
                <c:pt idx="6">
                  <c:v>Justice</c:v>
                </c:pt>
                <c:pt idx="7">
                  <c:v>Business</c:v>
                </c:pt>
              </c:strCache>
            </c:strRef>
          </c:cat>
          <c:val>
            <c:numRef>
              <c:f>1</c:f>
              <c:numCache>
                <c:formatCode>General</c:formatCode>
                <c:ptCount val="8"/>
                <c:pt idx="0">
                  <c:v>51</c:v>
                </c:pt>
                <c:pt idx="1">
                  <c:v>64</c:v>
                </c:pt>
                <c:pt idx="2">
                  <c:v>71</c:v>
                </c:pt>
                <c:pt idx="3">
                  <c:v>73.3</c:v>
                </c:pt>
                <c:pt idx="4">
                  <c:v>63.2</c:v>
                </c:pt>
                <c:pt idx="5">
                  <c:v>52.1</c:v>
                </c:pt>
                <c:pt idx="6">
                  <c:v>73.2</c:v>
                </c:pt>
                <c:pt idx="7">
                  <c:v>68.7</c:v>
                </c:pt>
              </c:numCache>
            </c:numRef>
          </c:val>
        </c:ser>
        <c:gapWidth val="150"/>
        <c:overlap val="0"/>
        <c:axId val="66343942"/>
        <c:axId val="27959501"/>
      </c:barChart>
      <c:catAx>
        <c:axId val="66343942"/>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27959501"/>
        <c:crosses val="autoZero"/>
        <c:auto val="1"/>
        <c:lblAlgn val="ctr"/>
        <c:lblOffset val="100"/>
      </c:catAx>
      <c:valAx>
        <c:axId val="2795950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66343942"/>
        <c:crosses val="autoZero"/>
      </c:valAx>
      <c:spPr>
        <a:solidFill>
          <a:srgbClr val="ffffff"/>
        </a:solidFill>
        <a:ln>
          <a:noFill/>
        </a:ln>
      </c:spPr>
    </c:plotArea>
    <c:legend>
      <c:legendPos val="b"/>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male</c:v>
                </c:pt>
              </c:strCache>
            </c:strRef>
          </c:tx>
          <c:spPr>
            <a:solidFill>
              <a:srgbClr val="4f81b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6"/>
                <c:pt idx="0">
                  <c:v>Managers, senior officials</c:v>
                </c:pt>
                <c:pt idx="1">
                  <c:v>Professionals</c:v>
                </c:pt>
                <c:pt idx="2">
                  <c:v>Associate professionals</c:v>
                </c:pt>
                <c:pt idx="3">
                  <c:v>Service workers </c:v>
                </c:pt>
                <c:pt idx="4">
                  <c:v>Skilled agricultural workers</c:v>
                </c:pt>
                <c:pt idx="5">
                  <c:v>Craft and other trades workers</c:v>
                </c:pt>
              </c:strCache>
            </c:strRef>
          </c:cat>
          <c:val>
            <c:numRef>
              <c:f>0</c:f>
              <c:numCache>
                <c:formatCode>General</c:formatCode>
                <c:ptCount val="6"/>
                <c:pt idx="0">
                  <c:v>7.8</c:v>
                </c:pt>
                <c:pt idx="1">
                  <c:v>35.9</c:v>
                </c:pt>
                <c:pt idx="2">
                  <c:v>4.9</c:v>
                </c:pt>
                <c:pt idx="3">
                  <c:v>3.5</c:v>
                </c:pt>
                <c:pt idx="4">
                  <c:v>0.4</c:v>
                </c:pt>
                <c:pt idx="5">
                  <c:v>15.2</c:v>
                </c:pt>
              </c:numCache>
            </c:numRef>
          </c:val>
        </c:ser>
        <c:ser>
          <c:idx val="1"/>
          <c:order val="1"/>
          <c:tx>
            <c:strRef>
              <c:f>label 1</c:f>
              <c:strCache>
                <c:ptCount val="1"/>
                <c:pt idx="0">
                  <c:v>female</c:v>
                </c:pt>
              </c:strCache>
            </c:strRef>
          </c:tx>
          <c:spPr>
            <a:solidFill>
              <a:srgbClr val="c0504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6"/>
                <c:pt idx="0">
                  <c:v>Managers, senior officials</c:v>
                </c:pt>
                <c:pt idx="1">
                  <c:v>Professionals</c:v>
                </c:pt>
                <c:pt idx="2">
                  <c:v>Associate professionals</c:v>
                </c:pt>
                <c:pt idx="3">
                  <c:v>Service workers </c:v>
                </c:pt>
                <c:pt idx="4">
                  <c:v>Skilled agricultural workers</c:v>
                </c:pt>
                <c:pt idx="5">
                  <c:v>Craft and other trades workers</c:v>
                </c:pt>
              </c:strCache>
            </c:strRef>
          </c:cat>
          <c:val>
            <c:numRef>
              <c:f>1</c:f>
              <c:numCache>
                <c:formatCode>General</c:formatCode>
                <c:ptCount val="6"/>
                <c:pt idx="0">
                  <c:v>8.9</c:v>
                </c:pt>
                <c:pt idx="1">
                  <c:v>43</c:v>
                </c:pt>
                <c:pt idx="2">
                  <c:v>7.6</c:v>
                </c:pt>
                <c:pt idx="3">
                  <c:v>16</c:v>
                </c:pt>
                <c:pt idx="4">
                  <c:v>0.5</c:v>
                </c:pt>
                <c:pt idx="5">
                  <c:v>2.3</c:v>
                </c:pt>
              </c:numCache>
            </c:numRef>
          </c:val>
        </c:ser>
        <c:gapWidth val="150"/>
        <c:overlap val="-25"/>
        <c:axId val="11979696"/>
        <c:axId val="29608021"/>
      </c:barChart>
      <c:catAx>
        <c:axId val="11979696"/>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800" spc="-1" strike="noStrike">
                <a:solidFill>
                  <a:srgbClr val="000000"/>
                </a:solidFill>
                <a:latin typeface="Calibri"/>
              </a:defRPr>
            </a:pPr>
          </a:p>
        </c:txPr>
        <c:crossAx val="29608021"/>
        <c:crosses val="autoZero"/>
        <c:auto val="1"/>
        <c:lblAlgn val="ctr"/>
        <c:lblOffset val="100"/>
      </c:catAx>
      <c:valAx>
        <c:axId val="29608021"/>
        <c:scaling>
          <c:orientation val="minMax"/>
        </c:scaling>
        <c:delete val="1"/>
        <c:axPos val="l"/>
        <c:numFmt formatCode="General" sourceLinked="0"/>
        <c:majorTickMark val="out"/>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11979696"/>
        <c:crosses val="autoZero"/>
      </c:valAx>
      <c:spPr>
        <a:solidFill>
          <a:srgbClr val="ffffff"/>
        </a:solidFill>
        <a:ln>
          <a:noFill/>
        </a:ln>
      </c:spPr>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General score</c:v>
                </c:pt>
              </c:strCache>
            </c:strRef>
          </c:tx>
          <c:spPr>
            <a:solidFill>
              <a:srgbClr val="4f81bd"/>
            </a:solidFill>
            <a:ln>
              <a:noFill/>
            </a:ln>
          </c:spPr>
          <c:invertIfNegative val="0"/>
          <c:dPt>
            <c:idx val="1"/>
            <c:invertIfNegative val="0"/>
            <c:spPr>
              <a:solidFill>
                <a:srgbClr val="ffff00"/>
              </a:solidFill>
              <a:ln>
                <a:noFill/>
              </a:ln>
            </c:spPr>
          </c:dPt>
          <c:dPt>
            <c:idx val="2"/>
            <c:invertIfNegative val="0"/>
            <c:spPr>
              <a:solidFill>
                <a:srgbClr val="ff0000"/>
              </a:solidFill>
              <a:ln>
                <a:noFill/>
              </a:ln>
            </c:spPr>
          </c:dPt>
          <c:dLbls>
            <c:numFmt formatCode="0\.0" sourceLinked="1"/>
            <c:dLbl>
              <c:idx val="1"/>
              <c:txPr>
                <a:bodyPr/>
                <a:lstStyle/>
                <a:p>
                  <a:pPr>
                    <a:defRPr b="0" sz="1000" spc="-1" strike="noStrike">
                      <a:solidFill>
                        <a:srgbClr val="000000"/>
                      </a:solidFill>
                      <a:latin typeface="Calibri"/>
                    </a:defRPr>
                  </a:pPr>
                </a:p>
              </c:txPr>
              <c:dLblPos val="outEnd"/>
              <c:showLegendKey val="0"/>
              <c:showVal val="1"/>
              <c:showCatName val="0"/>
              <c:showSerName val="0"/>
              <c:showPercent val="0"/>
            </c:dLbl>
            <c:dLbl>
              <c:idx val="2"/>
              <c:txPr>
                <a:bodyPr/>
                <a:lstStyle/>
                <a:p>
                  <a:pPr>
                    <a:defRPr b="0" sz="1000" spc="-1" strike="noStrike">
                      <a:solidFill>
                        <a:srgbClr val="000000"/>
                      </a:solidFill>
                      <a:latin typeface="Calibri"/>
                    </a:defRPr>
                  </a:pPr>
                </a:p>
              </c:txPr>
              <c:dLblPos val="outEnd"/>
              <c:showLegendKey val="0"/>
              <c:showVal val="1"/>
              <c:showCatName val="0"/>
              <c:showSerName val="0"/>
              <c:showPercent val="0"/>
            </c:dLbl>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3"/>
                <c:pt idx="0">
                  <c:v>Gender Equality Relevancy</c:v>
                </c:pt>
                <c:pt idx="1">
                  <c:v>Gender Equality Mainstreaming</c:v>
                </c:pt>
                <c:pt idx="2">
                  <c:v>Gender gap </c:v>
                </c:pt>
              </c:strCache>
            </c:strRef>
          </c:cat>
          <c:val>
            <c:numRef>
              <c:f>0</c:f>
              <c:numCache>
                <c:formatCode>General</c:formatCode>
                <c:ptCount val="3"/>
                <c:pt idx="0">
                  <c:v>2.51111111111111</c:v>
                </c:pt>
                <c:pt idx="1">
                  <c:v>2.26666666666667</c:v>
                </c:pt>
                <c:pt idx="2">
                  <c:v>0.244444444444445</c:v>
                </c:pt>
              </c:numCache>
            </c:numRef>
          </c:val>
        </c:ser>
        <c:gapWidth val="150"/>
        <c:overlap val="0"/>
        <c:axId val="47589242"/>
        <c:axId val="28845757"/>
      </c:barChart>
      <c:catAx>
        <c:axId val="47589242"/>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28845757"/>
        <c:crosses val="autoZero"/>
        <c:auto val="1"/>
        <c:lblAlgn val="ctr"/>
        <c:lblOffset val="100"/>
      </c:catAx>
      <c:valAx>
        <c:axId val="28845757"/>
        <c:scaling>
          <c:orientation val="minMax"/>
        </c:scaling>
        <c:delete val="0"/>
        <c:axPos val="l"/>
        <c:majorGridlines>
          <c:spPr>
            <a:ln w="9360">
              <a:solidFill>
                <a:srgbClr val="878787"/>
              </a:solidFill>
              <a:round/>
            </a:ln>
          </c:spPr>
        </c:majorGridlines>
        <c:numFmt formatCode="0\.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47589242"/>
        <c:crosses val="autoZero"/>
      </c:valAx>
      <c:spPr>
        <a:solidFill>
          <a:srgbClr val="ffffff"/>
        </a:solidFill>
        <a:ln>
          <a:noFill/>
        </a:ln>
      </c:spPr>
    </c:plotArea>
    <c:plotVisOnly val="1"/>
    <c:dispBlanksAs val="gap"/>
  </c:chart>
  <c:spPr>
    <a:solidFill>
      <a:srgbClr val="ffffff"/>
    </a:solidFill>
    <a:ln w="25560">
      <a:solidFill>
        <a:srgbClr val="f79646"/>
      </a:solidFill>
      <a:round/>
    </a:ln>
  </c:spPr>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Gender Equality Relevancy</c:v>
                </c:pt>
              </c:strCache>
            </c:strRef>
          </c:tx>
          <c:spPr>
            <a:solidFill>
              <a:srgbClr val="4f81b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c:v>
                </c:pt>
                <c:pt idx="1">
                  <c:v>Grade VI</c:v>
                </c:pt>
                <c:pt idx="2">
                  <c:v>Grade VII</c:v>
                </c:pt>
                <c:pt idx="3">
                  <c:v>Grade VIII</c:v>
                </c:pt>
                <c:pt idx="4">
                  <c:v>Grade IX</c:v>
                </c:pt>
                <c:pt idx="5">
                  <c:v>Grade X</c:v>
                </c:pt>
                <c:pt idx="6">
                  <c:v>Grade XI</c:v>
                </c:pt>
                <c:pt idx="7">
                  <c:v>Grade XII</c:v>
                </c:pt>
                <c:pt idx="8">
                  <c:v>Postsecundary Education</c:v>
                </c:pt>
              </c:strCache>
            </c:strRef>
          </c:cat>
          <c:val>
            <c:numRef>
              <c:f>0</c:f>
              <c:numCache>
                <c:formatCode>General</c:formatCode>
                <c:ptCount val="9"/>
                <c:pt idx="0">
                  <c:v>2.6</c:v>
                </c:pt>
                <c:pt idx="1">
                  <c:v>2.4</c:v>
                </c:pt>
                <c:pt idx="2">
                  <c:v>2.6</c:v>
                </c:pt>
                <c:pt idx="3">
                  <c:v>2.4</c:v>
                </c:pt>
                <c:pt idx="4">
                  <c:v>2.5</c:v>
                </c:pt>
                <c:pt idx="5">
                  <c:v>2.3</c:v>
                </c:pt>
                <c:pt idx="6">
                  <c:v>2.7</c:v>
                </c:pt>
                <c:pt idx="7">
                  <c:v>2.6</c:v>
                </c:pt>
                <c:pt idx="8">
                  <c:v>2.5</c:v>
                </c:pt>
              </c:numCache>
            </c:numRef>
          </c:val>
        </c:ser>
        <c:ser>
          <c:idx val="1"/>
          <c:order val="1"/>
          <c:tx>
            <c:strRef>
              <c:f>label 1</c:f>
              <c:strCache>
                <c:ptCount val="1"/>
                <c:pt idx="0">
                  <c:v>Gender Equality Mainstreaming</c:v>
                </c:pt>
              </c:strCache>
            </c:strRef>
          </c:tx>
          <c:spPr>
            <a:solidFill>
              <a:srgbClr val="c0504d"/>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howLeaderLines val="0"/>
          </c:dLbls>
          <c:cat>
            <c:strRef>
              <c:f>categories</c:f>
              <c:strCache>
                <c:ptCount val="9"/>
                <c:pt idx="0">
                  <c:v>Grade V</c:v>
                </c:pt>
                <c:pt idx="1">
                  <c:v>Grade VI</c:v>
                </c:pt>
                <c:pt idx="2">
                  <c:v>Grade VII</c:v>
                </c:pt>
                <c:pt idx="3">
                  <c:v>Grade VIII</c:v>
                </c:pt>
                <c:pt idx="4">
                  <c:v>Grade IX</c:v>
                </c:pt>
                <c:pt idx="5">
                  <c:v>Grade X</c:v>
                </c:pt>
                <c:pt idx="6">
                  <c:v>Grade XI</c:v>
                </c:pt>
                <c:pt idx="7">
                  <c:v>Grade XII</c:v>
                </c:pt>
                <c:pt idx="8">
                  <c:v>Postsecundary Education</c:v>
                </c:pt>
              </c:strCache>
            </c:strRef>
          </c:cat>
          <c:val>
            <c:numRef>
              <c:f>1</c:f>
              <c:numCache>
                <c:formatCode>General</c:formatCode>
                <c:ptCount val="9"/>
                <c:pt idx="0">
                  <c:v>2.3</c:v>
                </c:pt>
                <c:pt idx="1">
                  <c:v>2.3</c:v>
                </c:pt>
                <c:pt idx="2">
                  <c:v>2.4</c:v>
                </c:pt>
                <c:pt idx="3">
                  <c:v>2.2</c:v>
                </c:pt>
                <c:pt idx="4">
                  <c:v>2.3</c:v>
                </c:pt>
                <c:pt idx="5">
                  <c:v>2.1</c:v>
                </c:pt>
                <c:pt idx="6">
                  <c:v>2.3</c:v>
                </c:pt>
                <c:pt idx="7">
                  <c:v>2.3</c:v>
                </c:pt>
                <c:pt idx="8">
                  <c:v>2.2</c:v>
                </c:pt>
              </c:numCache>
            </c:numRef>
          </c:val>
        </c:ser>
        <c:gapWidth val="75"/>
        <c:overlap val="-25"/>
        <c:axId val="59654093"/>
        <c:axId val="64991021"/>
      </c:barChart>
      <c:catAx>
        <c:axId val="59654093"/>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700" spc="-1" strike="noStrike">
                <a:solidFill>
                  <a:srgbClr val="000000"/>
                </a:solidFill>
                <a:latin typeface="Calibri"/>
              </a:defRPr>
            </a:pPr>
          </a:p>
        </c:txPr>
        <c:crossAx val="64991021"/>
        <c:crosses val="autoZero"/>
        <c:auto val="1"/>
        <c:lblAlgn val="ctr"/>
        <c:lblOffset val="100"/>
      </c:catAx>
      <c:valAx>
        <c:axId val="64991021"/>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000" spc="-1" strike="noStrike">
                <a:solidFill>
                  <a:srgbClr val="000000"/>
                </a:solidFill>
                <a:latin typeface="Calibri"/>
              </a:defRPr>
            </a:pPr>
          </a:p>
        </c:txPr>
        <c:crossAx val="59654093"/>
        <c:crosses val="autoZero"/>
      </c:valAx>
      <c:spPr>
        <a:solidFill>
          <a:srgbClr val="ffffff"/>
        </a:solidFill>
        <a:ln>
          <a:noFill/>
        </a:ln>
      </c:spPr>
    </c:plotArea>
    <c:legend>
      <c:legendPos val="b"/>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25560">
      <a:solidFill>
        <a:srgbClr val="f79646"/>
      </a:solidFill>
      <a:round/>
    </a:ln>
  </c:spPr>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EE7B79-658B-4869-98EA-39ADA18121A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o-RO"/>
        </a:p>
      </dgm:t>
    </dgm:pt>
    <dgm:pt modelId="{E8BA7B85-23D0-4FF2-BBC2-B358F9A0C8C5}">
      <dgm:prSet phldrT="[Text]" custT="1"/>
      <dgm:spPr/>
      <dgm:t>
        <a:bodyPr/>
        <a:lstStyle/>
        <a:p>
          <a:r>
            <a:rPr lang="en-US" sz="1200"/>
            <a:t>Gender relevancy</a:t>
          </a:r>
          <a:endParaRPr lang="ro-RO" sz="1200"/>
        </a:p>
      </dgm:t>
    </dgm:pt>
    <dgm:pt modelId="{2598EC12-0F27-4E2F-B512-7C553B556F0E}" type="parTrans" cxnId="{D6496CDD-7383-45DA-A52B-AB89B49E3F2B}">
      <dgm:prSet/>
      <dgm:spPr/>
      <dgm:t>
        <a:bodyPr/>
        <a:lstStyle/>
        <a:p>
          <a:endParaRPr lang="ro-RO"/>
        </a:p>
      </dgm:t>
    </dgm:pt>
    <dgm:pt modelId="{1B872FB5-34A0-4464-96B8-EAF29EED010D}" type="sibTrans" cxnId="{D6496CDD-7383-45DA-A52B-AB89B49E3F2B}">
      <dgm:prSet/>
      <dgm:spPr/>
      <dgm:t>
        <a:bodyPr/>
        <a:lstStyle/>
        <a:p>
          <a:endParaRPr lang="ro-RO"/>
        </a:p>
      </dgm:t>
    </dgm:pt>
    <dgm:pt modelId="{51F90362-9A78-468C-A233-4C40A7690CBA}">
      <dgm:prSet phldrT="[Text]" custT="1"/>
      <dgm:spPr/>
      <dgm:t>
        <a:bodyPr/>
        <a:lstStyle/>
        <a:p>
          <a:r>
            <a:rPr lang="en-US" sz="1100"/>
            <a:t>Indicates how much we should care about gender inequality in our work</a:t>
          </a:r>
          <a:endParaRPr lang="ro-RO" sz="1100"/>
        </a:p>
      </dgm:t>
    </dgm:pt>
    <dgm:pt modelId="{E99117B8-B895-44B1-A582-9F6EE9449A3F}" type="parTrans" cxnId="{529CE15B-D54A-4F23-ABC2-4B5479E11B46}">
      <dgm:prSet/>
      <dgm:spPr/>
      <dgm:t>
        <a:bodyPr/>
        <a:lstStyle/>
        <a:p>
          <a:endParaRPr lang="ro-RO"/>
        </a:p>
      </dgm:t>
    </dgm:pt>
    <dgm:pt modelId="{E6650DBC-FFE4-4AA7-93C1-8BB49FE822DC}" type="sibTrans" cxnId="{529CE15B-D54A-4F23-ABC2-4B5479E11B46}">
      <dgm:prSet/>
      <dgm:spPr/>
      <dgm:t>
        <a:bodyPr/>
        <a:lstStyle/>
        <a:p>
          <a:endParaRPr lang="ro-RO"/>
        </a:p>
      </dgm:t>
    </dgm:pt>
    <dgm:pt modelId="{79C1E43A-2F70-443C-94A3-6F8B3F4C54BF}">
      <dgm:prSet phldrT="[Text]" custT="1"/>
      <dgm:spPr/>
      <dgm:t>
        <a:bodyPr/>
        <a:lstStyle/>
        <a:p>
          <a:r>
            <a:rPr lang="en-US" sz="1100"/>
            <a:t>Is based on the levels of gender inequality in the sector</a:t>
          </a:r>
          <a:endParaRPr lang="ro-RO" sz="1100"/>
        </a:p>
      </dgm:t>
    </dgm:pt>
    <dgm:pt modelId="{22EAEB2A-2FBE-40E8-99F0-BB7DAC6B41D1}" type="parTrans" cxnId="{DE20B02A-A8A9-409A-A34F-D0EE24BB7833}">
      <dgm:prSet/>
      <dgm:spPr/>
      <dgm:t>
        <a:bodyPr/>
        <a:lstStyle/>
        <a:p>
          <a:endParaRPr lang="ro-RO"/>
        </a:p>
      </dgm:t>
    </dgm:pt>
    <dgm:pt modelId="{3D26C9A9-24A2-49FB-A5FB-D40BD089CBE1}" type="sibTrans" cxnId="{DE20B02A-A8A9-409A-A34F-D0EE24BB7833}">
      <dgm:prSet/>
      <dgm:spPr/>
      <dgm:t>
        <a:bodyPr/>
        <a:lstStyle/>
        <a:p>
          <a:endParaRPr lang="ro-RO"/>
        </a:p>
      </dgm:t>
    </dgm:pt>
    <dgm:pt modelId="{26A5A1B3-CC6C-4EFA-9B47-DB07146DF1E0}">
      <dgm:prSet phldrT="[Text]" custT="1"/>
      <dgm:spPr/>
      <dgm:t>
        <a:bodyPr/>
        <a:lstStyle/>
        <a:p>
          <a:r>
            <a:rPr lang="en-US" sz="1200"/>
            <a:t>Gender mainstreaming</a:t>
          </a:r>
          <a:endParaRPr lang="ro-RO" sz="1200"/>
        </a:p>
      </dgm:t>
    </dgm:pt>
    <dgm:pt modelId="{9073FFDD-D7B7-4441-9078-402FD6B5DCD9}" type="parTrans" cxnId="{F31E4418-717C-4D36-A8C3-788FC6F8AB71}">
      <dgm:prSet/>
      <dgm:spPr/>
      <dgm:t>
        <a:bodyPr/>
        <a:lstStyle/>
        <a:p>
          <a:endParaRPr lang="ro-RO"/>
        </a:p>
      </dgm:t>
    </dgm:pt>
    <dgm:pt modelId="{C3F7D79B-C74C-44B3-893B-689FDAAD774E}" type="sibTrans" cxnId="{F31E4418-717C-4D36-A8C3-788FC6F8AB71}">
      <dgm:prSet/>
      <dgm:spPr/>
      <dgm:t>
        <a:bodyPr/>
        <a:lstStyle/>
        <a:p>
          <a:endParaRPr lang="ro-RO"/>
        </a:p>
      </dgm:t>
    </dgm:pt>
    <dgm:pt modelId="{8819EAF1-CCC7-44E2-9D67-4252B1D82955}">
      <dgm:prSet phldrT="[Text]" custT="1"/>
      <dgm:spPr/>
      <dgm:t>
        <a:bodyPr/>
        <a:lstStyle/>
        <a:p>
          <a:r>
            <a:rPr lang="en-US" sz="1100"/>
            <a:t>Indicates the level of effort, resurces and special attention one needs to put in order to address gender inequalities.</a:t>
          </a:r>
          <a:endParaRPr lang="ro-RO" sz="1100"/>
        </a:p>
      </dgm:t>
    </dgm:pt>
    <dgm:pt modelId="{D15B3DC4-B088-4EC1-A2C9-90C74D52CACD}" type="parTrans" cxnId="{B4353AA3-46C6-4D0C-AD83-06CD86708A88}">
      <dgm:prSet/>
      <dgm:spPr/>
      <dgm:t>
        <a:bodyPr/>
        <a:lstStyle/>
        <a:p>
          <a:endParaRPr lang="ro-RO"/>
        </a:p>
      </dgm:t>
    </dgm:pt>
    <dgm:pt modelId="{6B60FD6B-4711-4017-B769-EF9E811CC733}" type="sibTrans" cxnId="{B4353AA3-46C6-4D0C-AD83-06CD86708A88}">
      <dgm:prSet/>
      <dgm:spPr/>
      <dgm:t>
        <a:bodyPr/>
        <a:lstStyle/>
        <a:p>
          <a:endParaRPr lang="ro-RO"/>
        </a:p>
      </dgm:t>
    </dgm:pt>
    <dgm:pt modelId="{7959D62E-E47C-4210-B714-0F7390950A9B}">
      <dgm:prSet phldrT="[Text]" custT="1"/>
      <dgm:spPr/>
      <dgm:t>
        <a:bodyPr/>
        <a:lstStyle/>
        <a:p>
          <a:r>
            <a:rPr lang="en-US" sz="1100"/>
            <a:t>Should be proportional to the gender inequalities in the sector (gender relevancy)</a:t>
          </a:r>
          <a:endParaRPr lang="ro-RO" sz="1100"/>
        </a:p>
      </dgm:t>
    </dgm:pt>
    <dgm:pt modelId="{E488E489-E124-47DB-94A3-2BCF2CCCD071}" type="parTrans" cxnId="{D4D31413-23A8-4A74-B2D9-4D187B57576D}">
      <dgm:prSet/>
      <dgm:spPr/>
      <dgm:t>
        <a:bodyPr/>
        <a:lstStyle/>
        <a:p>
          <a:endParaRPr lang="ro-RO"/>
        </a:p>
      </dgm:t>
    </dgm:pt>
    <dgm:pt modelId="{D13DFB35-85F4-47B1-BC3A-6BD075F104D6}" type="sibTrans" cxnId="{D4D31413-23A8-4A74-B2D9-4D187B57576D}">
      <dgm:prSet/>
      <dgm:spPr/>
      <dgm:t>
        <a:bodyPr/>
        <a:lstStyle/>
        <a:p>
          <a:endParaRPr lang="ro-RO"/>
        </a:p>
      </dgm:t>
    </dgm:pt>
    <dgm:pt modelId="{3051F403-3FD6-47C4-984A-775D508F93D2}" type="pres">
      <dgm:prSet presAssocID="{47EE7B79-658B-4869-98EA-39ADA18121A3}" presName="Name0" presStyleCnt="0">
        <dgm:presLayoutVars>
          <dgm:dir/>
          <dgm:animLvl val="lvl"/>
          <dgm:resizeHandles val="exact"/>
        </dgm:presLayoutVars>
      </dgm:prSet>
      <dgm:spPr/>
    </dgm:pt>
    <dgm:pt modelId="{5240C1CC-EE21-446C-A7A0-D074F0E97697}" type="pres">
      <dgm:prSet presAssocID="{E8BA7B85-23D0-4FF2-BBC2-B358F9A0C8C5}" presName="composite" presStyleCnt="0"/>
      <dgm:spPr/>
    </dgm:pt>
    <dgm:pt modelId="{5D5715BB-F632-4DA8-AAF7-2DA47ED2AA9B}" type="pres">
      <dgm:prSet presAssocID="{E8BA7B85-23D0-4FF2-BBC2-B358F9A0C8C5}" presName="parTx" presStyleLbl="alignNode1" presStyleIdx="0" presStyleCnt="2" custLinFactNeighborX="-1" custLinFactNeighborY="-786">
        <dgm:presLayoutVars>
          <dgm:chMax val="0"/>
          <dgm:chPref val="0"/>
          <dgm:bulletEnabled val="1"/>
        </dgm:presLayoutVars>
      </dgm:prSet>
      <dgm:spPr/>
    </dgm:pt>
    <dgm:pt modelId="{90AB243A-D026-458D-AD60-4F07A9450F50}" type="pres">
      <dgm:prSet presAssocID="{E8BA7B85-23D0-4FF2-BBC2-B358F9A0C8C5}" presName="desTx" presStyleLbl="alignAccFollowNode1" presStyleIdx="0" presStyleCnt="2">
        <dgm:presLayoutVars>
          <dgm:bulletEnabled val="1"/>
        </dgm:presLayoutVars>
      </dgm:prSet>
      <dgm:spPr/>
    </dgm:pt>
    <dgm:pt modelId="{92F22C47-2360-4FF0-8485-19F307071942}" type="pres">
      <dgm:prSet presAssocID="{1B872FB5-34A0-4464-96B8-EAF29EED010D}" presName="space" presStyleCnt="0"/>
      <dgm:spPr/>
    </dgm:pt>
    <dgm:pt modelId="{DBA4FB4D-4F27-4A62-A77B-5C07764AEEEE}" type="pres">
      <dgm:prSet presAssocID="{26A5A1B3-CC6C-4EFA-9B47-DB07146DF1E0}" presName="composite" presStyleCnt="0"/>
      <dgm:spPr/>
    </dgm:pt>
    <dgm:pt modelId="{C288038B-856F-4FD0-B3D2-8A3631D6D332}" type="pres">
      <dgm:prSet presAssocID="{26A5A1B3-CC6C-4EFA-9B47-DB07146DF1E0}" presName="parTx" presStyleLbl="alignNode1" presStyleIdx="1" presStyleCnt="2">
        <dgm:presLayoutVars>
          <dgm:chMax val="0"/>
          <dgm:chPref val="0"/>
          <dgm:bulletEnabled val="1"/>
        </dgm:presLayoutVars>
      </dgm:prSet>
      <dgm:spPr/>
    </dgm:pt>
    <dgm:pt modelId="{8C678863-B64D-4D5E-B76B-B98BD205167C}" type="pres">
      <dgm:prSet presAssocID="{26A5A1B3-CC6C-4EFA-9B47-DB07146DF1E0}" presName="desTx" presStyleLbl="alignAccFollowNode1" presStyleIdx="1" presStyleCnt="2">
        <dgm:presLayoutVars>
          <dgm:bulletEnabled val="1"/>
        </dgm:presLayoutVars>
      </dgm:prSet>
      <dgm:spPr/>
    </dgm:pt>
  </dgm:ptLst>
  <dgm:cxnLst>
    <dgm:cxn modelId="{D4D31413-23A8-4A74-B2D9-4D187B57576D}" srcId="{26A5A1B3-CC6C-4EFA-9B47-DB07146DF1E0}" destId="{7959D62E-E47C-4210-B714-0F7390950A9B}" srcOrd="1" destOrd="0" parTransId="{E488E489-E124-47DB-94A3-2BCF2CCCD071}" sibTransId="{D13DFB35-85F4-47B1-BC3A-6BD075F104D6}"/>
    <dgm:cxn modelId="{F31E4418-717C-4D36-A8C3-788FC6F8AB71}" srcId="{47EE7B79-658B-4869-98EA-39ADA18121A3}" destId="{26A5A1B3-CC6C-4EFA-9B47-DB07146DF1E0}" srcOrd="1" destOrd="0" parTransId="{9073FFDD-D7B7-4441-9078-402FD6B5DCD9}" sibTransId="{C3F7D79B-C74C-44B3-893B-689FDAAD774E}"/>
    <dgm:cxn modelId="{DE20B02A-A8A9-409A-A34F-D0EE24BB7833}" srcId="{E8BA7B85-23D0-4FF2-BBC2-B358F9A0C8C5}" destId="{79C1E43A-2F70-443C-94A3-6F8B3F4C54BF}" srcOrd="1" destOrd="0" parTransId="{22EAEB2A-2FBE-40E8-99F0-BB7DAC6B41D1}" sibTransId="{3D26C9A9-24A2-49FB-A5FB-D40BD089CBE1}"/>
    <dgm:cxn modelId="{529CE15B-D54A-4F23-ABC2-4B5479E11B46}" srcId="{E8BA7B85-23D0-4FF2-BBC2-B358F9A0C8C5}" destId="{51F90362-9A78-468C-A233-4C40A7690CBA}" srcOrd="0" destOrd="0" parTransId="{E99117B8-B895-44B1-A582-9F6EE9449A3F}" sibTransId="{E6650DBC-FFE4-4AA7-93C1-8BB49FE822DC}"/>
    <dgm:cxn modelId="{75921744-7F87-4A01-AE22-07BE53FCDD7D}" type="presOf" srcId="{7959D62E-E47C-4210-B714-0F7390950A9B}" destId="{8C678863-B64D-4D5E-B76B-B98BD205167C}" srcOrd="0" destOrd="1" presId="urn:microsoft.com/office/officeart/2005/8/layout/hList1"/>
    <dgm:cxn modelId="{072E9A48-3606-4B9D-8DE2-64E24B2BC688}" type="presOf" srcId="{8819EAF1-CCC7-44E2-9D67-4252B1D82955}" destId="{8C678863-B64D-4D5E-B76B-B98BD205167C}" srcOrd="0" destOrd="0" presId="urn:microsoft.com/office/officeart/2005/8/layout/hList1"/>
    <dgm:cxn modelId="{8632A355-3D54-47B9-8BB4-4404E3B4CB18}" type="presOf" srcId="{26A5A1B3-CC6C-4EFA-9B47-DB07146DF1E0}" destId="{C288038B-856F-4FD0-B3D2-8A3631D6D332}" srcOrd="0" destOrd="0" presId="urn:microsoft.com/office/officeart/2005/8/layout/hList1"/>
    <dgm:cxn modelId="{35865478-BA8E-45E5-8595-136B7966E354}" type="presOf" srcId="{47EE7B79-658B-4869-98EA-39ADA18121A3}" destId="{3051F403-3FD6-47C4-984A-775D508F93D2}" srcOrd="0" destOrd="0" presId="urn:microsoft.com/office/officeart/2005/8/layout/hList1"/>
    <dgm:cxn modelId="{EB3D2799-E159-4F4B-9FEE-CF962A2D398E}" type="presOf" srcId="{79C1E43A-2F70-443C-94A3-6F8B3F4C54BF}" destId="{90AB243A-D026-458D-AD60-4F07A9450F50}" srcOrd="0" destOrd="1" presId="urn:microsoft.com/office/officeart/2005/8/layout/hList1"/>
    <dgm:cxn modelId="{B4353AA3-46C6-4D0C-AD83-06CD86708A88}" srcId="{26A5A1B3-CC6C-4EFA-9B47-DB07146DF1E0}" destId="{8819EAF1-CCC7-44E2-9D67-4252B1D82955}" srcOrd="0" destOrd="0" parTransId="{D15B3DC4-B088-4EC1-A2C9-90C74D52CACD}" sibTransId="{6B60FD6B-4711-4017-B769-EF9E811CC733}"/>
    <dgm:cxn modelId="{D6496CDD-7383-45DA-A52B-AB89B49E3F2B}" srcId="{47EE7B79-658B-4869-98EA-39ADA18121A3}" destId="{E8BA7B85-23D0-4FF2-BBC2-B358F9A0C8C5}" srcOrd="0" destOrd="0" parTransId="{2598EC12-0F27-4E2F-B512-7C553B556F0E}" sibTransId="{1B872FB5-34A0-4464-96B8-EAF29EED010D}"/>
    <dgm:cxn modelId="{5E0C11E3-3518-40ED-864B-0F412F0674BB}" type="presOf" srcId="{51F90362-9A78-468C-A233-4C40A7690CBA}" destId="{90AB243A-D026-458D-AD60-4F07A9450F50}" srcOrd="0" destOrd="0" presId="urn:microsoft.com/office/officeart/2005/8/layout/hList1"/>
    <dgm:cxn modelId="{A4B652F4-CCD1-4A4B-AB2C-FB9AE5C0FF38}" type="presOf" srcId="{E8BA7B85-23D0-4FF2-BBC2-B358F9A0C8C5}" destId="{5D5715BB-F632-4DA8-AAF7-2DA47ED2AA9B}" srcOrd="0" destOrd="0" presId="urn:microsoft.com/office/officeart/2005/8/layout/hList1"/>
    <dgm:cxn modelId="{0CBD5535-FBC6-4F52-98F9-6782271E84F5}" type="presParOf" srcId="{3051F403-3FD6-47C4-984A-775D508F93D2}" destId="{5240C1CC-EE21-446C-A7A0-D074F0E97697}" srcOrd="0" destOrd="0" presId="urn:microsoft.com/office/officeart/2005/8/layout/hList1"/>
    <dgm:cxn modelId="{27BB854C-6CFD-42AB-865A-403D6FCB8A18}" type="presParOf" srcId="{5240C1CC-EE21-446C-A7A0-D074F0E97697}" destId="{5D5715BB-F632-4DA8-AAF7-2DA47ED2AA9B}" srcOrd="0" destOrd="0" presId="urn:microsoft.com/office/officeart/2005/8/layout/hList1"/>
    <dgm:cxn modelId="{21385A7F-698C-47BB-9497-329755A11A62}" type="presParOf" srcId="{5240C1CC-EE21-446C-A7A0-D074F0E97697}" destId="{90AB243A-D026-458D-AD60-4F07A9450F50}" srcOrd="1" destOrd="0" presId="urn:microsoft.com/office/officeart/2005/8/layout/hList1"/>
    <dgm:cxn modelId="{BDCD8D90-C7B3-4537-BBBD-7F3F9C071ED6}" type="presParOf" srcId="{3051F403-3FD6-47C4-984A-775D508F93D2}" destId="{92F22C47-2360-4FF0-8485-19F307071942}" srcOrd="1" destOrd="0" presId="urn:microsoft.com/office/officeart/2005/8/layout/hList1"/>
    <dgm:cxn modelId="{FCC75E41-4C59-4F80-B088-3462F55FBC6F}" type="presParOf" srcId="{3051F403-3FD6-47C4-984A-775D508F93D2}" destId="{DBA4FB4D-4F27-4A62-A77B-5C07764AEEEE}" srcOrd="2" destOrd="0" presId="urn:microsoft.com/office/officeart/2005/8/layout/hList1"/>
    <dgm:cxn modelId="{A138ED90-4949-4FA0-8242-2BF170C1CFB8}" type="presParOf" srcId="{DBA4FB4D-4F27-4A62-A77B-5C07764AEEEE}" destId="{C288038B-856F-4FD0-B3D2-8A3631D6D332}" srcOrd="0" destOrd="0" presId="urn:microsoft.com/office/officeart/2005/8/layout/hList1"/>
    <dgm:cxn modelId="{F877C79C-0258-4D9B-B2F6-D950A3F6D39E}" type="presParOf" srcId="{DBA4FB4D-4F27-4A62-A77B-5C07764AEEEE}" destId="{8C678863-B64D-4D5E-B76B-B98BD205167C}" srcOrd="1" destOrd="0" presId="urn:microsoft.com/office/officeart/2005/8/layout/hList1"/>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5715BB-F632-4DA8-AAF7-2DA47ED2AA9B}">
      <dsp:nvSpPr>
        <dsp:cNvPr id="0" name=""/>
        <dsp:cNvSpPr/>
      </dsp:nvSpPr>
      <dsp:spPr>
        <a:xfrm>
          <a:off x="1" y="9753"/>
          <a:ext cx="2904038" cy="777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Gender relevancy</a:t>
          </a:r>
          <a:endParaRPr lang="ro-RO" sz="1200" kern="1200"/>
        </a:p>
      </dsp:txBody>
      <dsp:txXfrm>
        <a:off x="1" y="9753"/>
        <a:ext cx="2904038" cy="777600"/>
      </dsp:txXfrm>
    </dsp:sp>
    <dsp:sp modelId="{90AB243A-D026-458D-AD60-4F07A9450F50}">
      <dsp:nvSpPr>
        <dsp:cNvPr id="0" name=""/>
        <dsp:cNvSpPr/>
      </dsp:nvSpPr>
      <dsp:spPr>
        <a:xfrm>
          <a:off x="30" y="793465"/>
          <a:ext cx="2904038" cy="11858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Indicates how much we should care about gender inequality in our work</a:t>
          </a:r>
          <a:endParaRPr lang="ro-RO" sz="1100" kern="1200"/>
        </a:p>
        <a:p>
          <a:pPr marL="57150" lvl="1" indent="-57150" algn="l" defTabSz="488950">
            <a:lnSpc>
              <a:spcPct val="90000"/>
            </a:lnSpc>
            <a:spcBef>
              <a:spcPct val="0"/>
            </a:spcBef>
            <a:spcAft>
              <a:spcPct val="15000"/>
            </a:spcAft>
            <a:buChar char="•"/>
          </a:pPr>
          <a:r>
            <a:rPr lang="en-US" sz="1100" kern="1200"/>
            <a:t>Is based on the levels of gender inequality in the sector</a:t>
          </a:r>
          <a:endParaRPr lang="ro-RO" sz="1100" kern="1200"/>
        </a:p>
      </dsp:txBody>
      <dsp:txXfrm>
        <a:off x="30" y="793465"/>
        <a:ext cx="2904038" cy="1185840"/>
      </dsp:txXfrm>
    </dsp:sp>
    <dsp:sp modelId="{C288038B-856F-4FD0-B3D2-8A3631D6D332}">
      <dsp:nvSpPr>
        <dsp:cNvPr id="0" name=""/>
        <dsp:cNvSpPr/>
      </dsp:nvSpPr>
      <dsp:spPr>
        <a:xfrm>
          <a:off x="3310634" y="15865"/>
          <a:ext cx="2904038" cy="777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kern="1200"/>
            <a:t>Gender mainstreaming</a:t>
          </a:r>
          <a:endParaRPr lang="ro-RO" sz="1200" kern="1200"/>
        </a:p>
      </dsp:txBody>
      <dsp:txXfrm>
        <a:off x="3310634" y="15865"/>
        <a:ext cx="2904038" cy="777600"/>
      </dsp:txXfrm>
    </dsp:sp>
    <dsp:sp modelId="{8C678863-B64D-4D5E-B76B-B98BD205167C}">
      <dsp:nvSpPr>
        <dsp:cNvPr id="0" name=""/>
        <dsp:cNvSpPr/>
      </dsp:nvSpPr>
      <dsp:spPr>
        <a:xfrm>
          <a:off x="3310634" y="793465"/>
          <a:ext cx="2904038" cy="118584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Indicates the level of effort, resurces and special attention one needs to put in order to address gender inequalities.</a:t>
          </a:r>
          <a:endParaRPr lang="ro-RO" sz="1100" kern="1200"/>
        </a:p>
        <a:p>
          <a:pPr marL="57150" lvl="1" indent="-57150" algn="l" defTabSz="488950">
            <a:lnSpc>
              <a:spcPct val="90000"/>
            </a:lnSpc>
            <a:spcBef>
              <a:spcPct val="0"/>
            </a:spcBef>
            <a:spcAft>
              <a:spcPct val="15000"/>
            </a:spcAft>
            <a:buChar char="•"/>
          </a:pPr>
          <a:r>
            <a:rPr lang="en-US" sz="1100" kern="1200"/>
            <a:t>Should be proportional to the gender inequalities in the sector (gender relevancy)</a:t>
          </a:r>
          <a:endParaRPr lang="ro-RO" sz="1100" kern="1200"/>
        </a:p>
      </dsp:txBody>
      <dsp:txXfrm>
        <a:off x="3310634" y="793465"/>
        <a:ext cx="2904038" cy="11858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82C7E-B2E2-4576-B06D-17908C6F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Application>LibreOffice/6.1.3.2$Windows_X86_64 LibreOffice_project/86daf60bf00efa86ad547e59e09d6bb77c699acb</Application>
  <Pages>16</Pages>
  <Words>4225</Words>
  <Characters>22285</Characters>
  <CharactersWithSpaces>26497</CharactersWithSpaces>
  <Paragraphs>190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2017-10-08T12:23:00Z</dcterms:created>
  <dc:creator>user</dc:creator>
  <dc:description/>
  <dc:language>ro-RO</dc:language>
  <cp:lastModifiedBy/>
  <dcterms:modified xsi:type="dcterms:W3CDTF">2019-05-29T16:18:40Z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