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93C" w:rsidRDefault="0042093C" w:rsidP="00B7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7572" w:rsidRDefault="00B77572" w:rsidP="00B7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</w:p>
    <w:p w:rsidR="00E93901" w:rsidRDefault="00E93901" w:rsidP="00E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901" w:rsidRPr="00223AAA" w:rsidRDefault="00E93901" w:rsidP="00E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223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ctivit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ății</w:t>
      </w:r>
      <w:proofErr w:type="spellEnd"/>
      <w:r w:rsidRPr="00223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follow-up </w:t>
      </w:r>
    </w:p>
    <w:p w:rsidR="00223AAA" w:rsidRPr="00223AAA" w:rsidRDefault="00223AAA" w:rsidP="00B7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901" w:rsidRDefault="00E93901" w:rsidP="00B7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pilotării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Modulului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”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Managementul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carierei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</w:p>
    <w:p w:rsidR="00E93901" w:rsidRDefault="00E93901" w:rsidP="00E9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 </w:t>
      </w:r>
      <w:proofErr w:type="spellStart"/>
      <w:r w:rsidRPr="00223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</w:t>
      </w:r>
      <w:proofErr w:type="spellEnd"/>
      <w:r w:rsidRPr="00223A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10.00</w:t>
      </w:r>
    </w:p>
    <w:p w:rsidR="00B77572" w:rsidRPr="00223AAA" w:rsidRDefault="00B77572" w:rsidP="00B77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AAA" w:rsidRPr="00E93901" w:rsidRDefault="00B77572" w:rsidP="00B775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E93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Scopul</w:t>
      </w:r>
      <w:proofErr w:type="spellEnd"/>
      <w:r w:rsidRPr="00E93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93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activității</w:t>
      </w:r>
      <w:proofErr w:type="spellEnd"/>
      <w:r w:rsidR="00B27111" w:rsidRPr="00E93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93901" w:rsidRDefault="00E93901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901" w:rsidRDefault="00B27111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3AA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apitalizarea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experienței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formatorilor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instituțiilor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pretatoare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 care au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pilotat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modulul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proofErr w:type="gram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carierei</w:t>
      </w:r>
      <w:proofErr w:type="spellEnd"/>
      <w:r w:rsid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>perspectiva</w:t>
      </w:r>
      <w:proofErr w:type="spellEnd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>consolidării</w:t>
      </w:r>
      <w:proofErr w:type="spellEnd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>eforturilor</w:t>
      </w:r>
      <w:proofErr w:type="spellEnd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 </w:t>
      </w:r>
      <w:proofErr w:type="spellStart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îmbunătăț</w:t>
      </w:r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>irea</w:t>
      </w:r>
      <w:proofErr w:type="spellEnd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educați</w:t>
      </w:r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</w:t>
      </w:r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carieră</w:t>
      </w:r>
      <w:proofErr w:type="spellEnd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învățământul</w:t>
      </w:r>
      <w:proofErr w:type="spellEnd"/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</w:t>
      </w:r>
      <w:proofErr w:type="spellEnd"/>
      <w:r w:rsidR="00E93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Moldova</w:t>
      </w:r>
      <w:r w:rsidR="00E93901" w:rsidRPr="00F066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901" w:rsidRDefault="00E93901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901" w:rsidRPr="00F33577" w:rsidRDefault="00E93901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F335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Organizatori</w:t>
      </w:r>
      <w:proofErr w:type="spellEnd"/>
      <w:r w:rsidRPr="00F335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93901" w:rsidRDefault="00E93901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Echipa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REVOCC II,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CEDA</w:t>
      </w:r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>parteneriat</w:t>
      </w:r>
      <w:proofErr w:type="spellEnd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MECC, ANOFM </w:t>
      </w:r>
      <w:proofErr w:type="spellStart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 </w:t>
      </w:r>
      <w:proofErr w:type="spellStart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>suportul</w:t>
      </w:r>
      <w:proofErr w:type="spellEnd"/>
      <w:proofErr w:type="gramEnd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="00F335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ADA</w:t>
      </w:r>
    </w:p>
    <w:p w:rsidR="00F33577" w:rsidRDefault="00F33577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577" w:rsidRPr="00F33577" w:rsidRDefault="00F33577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F335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Participanți</w:t>
      </w:r>
      <w:proofErr w:type="spellEnd"/>
      <w:r w:rsidRPr="00F335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77572" w:rsidRDefault="00F33577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prestatoare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cadrelor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 din Moldova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Universitatea</w:t>
      </w:r>
      <w:proofErr w:type="spellEnd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 de </w:t>
      </w:r>
      <w:proofErr w:type="spellStart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>Fizică</w:t>
      </w:r>
      <w:proofErr w:type="spellEnd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Sport,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Bălți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Stat din Comrat, Centrul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Excelență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Prelucr</w:t>
      </w:r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Alimentelor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Centrul de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Excelență</w:t>
      </w:r>
      <w:proofErr w:type="spellEnd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Industria</w:t>
      </w:r>
      <w:proofErr w:type="spellEnd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Ușoară</w:t>
      </w:r>
      <w:proofErr w:type="spellEnd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Centrul de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Excelență</w:t>
      </w:r>
      <w:proofErr w:type="spellEnd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B087A">
        <w:rPr>
          <w:rFonts w:ascii="Times New Roman" w:eastAsia="Times New Roman" w:hAnsi="Times New Roman" w:cs="Times New Roman"/>
          <w:color w:val="000000"/>
          <w:sz w:val="24"/>
          <w:szCs w:val="24"/>
        </w:rPr>
        <w:t>Construcții</w:t>
      </w:r>
      <w:proofErr w:type="spellEnd"/>
      <w:r w:rsid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Reprezentanți</w:t>
      </w:r>
      <w:proofErr w:type="spellEnd"/>
      <w:r w:rsid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MECC </w:t>
      </w:r>
      <w:proofErr w:type="spellStart"/>
      <w:r w:rsid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890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CEDA</w:t>
      </w:r>
    </w:p>
    <w:p w:rsidR="00890454" w:rsidRDefault="00890454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0454" w:rsidRPr="00890454" w:rsidRDefault="00890454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8904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Formatori</w:t>
      </w:r>
      <w:proofErr w:type="spellEnd"/>
      <w:r w:rsidRPr="008904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90454" w:rsidRDefault="00890454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Valentina Chicu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Serghei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Lîsenco</w:t>
      </w:r>
      <w:proofErr w:type="spellEnd"/>
    </w:p>
    <w:p w:rsidR="008B087A" w:rsidRPr="00223AAA" w:rsidRDefault="008B087A" w:rsidP="00E9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8079"/>
      </w:tblGrid>
      <w:tr w:rsidR="00B77572" w:rsidRPr="00223AAA" w:rsidTr="00890454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572" w:rsidRPr="00223AAA" w:rsidRDefault="00890454" w:rsidP="00B775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9:45 - 10:00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572" w:rsidRPr="00223AAA" w:rsidRDefault="00890454" w:rsidP="00B775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Cuvânt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salut</w:t>
            </w:r>
            <w:proofErr w:type="spellEnd"/>
          </w:p>
        </w:tc>
      </w:tr>
      <w:tr w:rsidR="00890454" w:rsidRPr="00223AAA" w:rsidTr="00890454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10:00 -10:40 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54" w:rsidRPr="00223AAA" w:rsidRDefault="00890454" w:rsidP="0089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Prezentarea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experienței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pilotare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modulului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Managementul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carierei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</w:p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bune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lecții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învățate</w:t>
            </w:r>
            <w:proofErr w:type="spellEnd"/>
          </w:p>
        </w:tc>
      </w:tr>
      <w:tr w:rsidR="00890454" w:rsidRPr="00223AAA" w:rsidTr="00890454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- 10:50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Pauză</w:t>
            </w:r>
            <w:proofErr w:type="spellEnd"/>
          </w:p>
        </w:tc>
      </w:tr>
      <w:tr w:rsidR="00890454" w:rsidRPr="00223AAA" w:rsidTr="00890454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10:50 - 11:30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Practici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bune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lecții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învățate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procesulde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Managementul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carierei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ctori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0454" w:rsidRPr="00223AAA" w:rsidTr="00890454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-11:40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Pauză</w:t>
            </w:r>
            <w:proofErr w:type="spellEnd"/>
          </w:p>
        </w:tc>
      </w:tr>
      <w:tr w:rsidR="00890454" w:rsidRPr="00223AAA" w:rsidTr="00890454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- 12:20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Probleme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procesulde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pilotare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Managementul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carierei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dentificarea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problemelor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soluțiilor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applicate.</w:t>
            </w:r>
          </w:p>
        </w:tc>
      </w:tr>
      <w:tr w:rsidR="00890454" w:rsidRPr="00223AAA" w:rsidTr="00890454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12:20 -12:40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0454" w:rsidRPr="00223AAA" w:rsidRDefault="00890454" w:rsidP="0089045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Concluzii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perspective de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instituționalizare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Managementul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carierei</w:t>
            </w:r>
            <w:proofErr w:type="spellEnd"/>
            <w:r w:rsidRPr="00223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77572" w:rsidRPr="00223AAA" w:rsidRDefault="00B77572" w:rsidP="00B77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91E" w:rsidRDefault="0030691E" w:rsidP="00223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0691E" w:rsidSect="00D30B39">
      <w:headerReference w:type="default" r:id="rId7"/>
      <w:pgSz w:w="12240" w:h="15840"/>
      <w:pgMar w:top="1440" w:right="90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7ED0" w:rsidRDefault="00097ED0" w:rsidP="00DE39B9">
      <w:pPr>
        <w:spacing w:after="0" w:line="240" w:lineRule="auto"/>
      </w:pPr>
      <w:r>
        <w:separator/>
      </w:r>
    </w:p>
  </w:endnote>
  <w:endnote w:type="continuationSeparator" w:id="0">
    <w:p w:rsidR="00097ED0" w:rsidRDefault="00097ED0" w:rsidP="00DE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7ED0" w:rsidRDefault="00097ED0" w:rsidP="00DE39B9">
      <w:pPr>
        <w:spacing w:after="0" w:line="240" w:lineRule="auto"/>
      </w:pPr>
      <w:bookmarkStart w:id="0" w:name="_Hlk38953917"/>
      <w:bookmarkEnd w:id="0"/>
      <w:r>
        <w:separator/>
      </w:r>
    </w:p>
  </w:footnote>
  <w:footnote w:type="continuationSeparator" w:id="0">
    <w:p w:rsidR="00097ED0" w:rsidRDefault="00097ED0" w:rsidP="00DE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9B9" w:rsidRPr="00CE2CDB" w:rsidRDefault="00DE39B9" w:rsidP="00DE39B9">
    <w:pPr>
      <w:pStyle w:val="Antet"/>
      <w:rPr>
        <w:rFonts w:ascii="Arial" w:eastAsia="Arial" w:hAnsi="Arial" w:cs="Times New Roman"/>
        <w:sz w:val="20"/>
        <w:szCs w:val="18"/>
        <w:lang w:val="en-GB"/>
      </w:rPr>
    </w:pPr>
    <w:r>
      <w:rPr>
        <w:noProof/>
      </w:rPr>
      <w:drawing>
        <wp:inline distT="0" distB="0" distL="0" distR="0" wp14:anchorId="09445BBD" wp14:editId="1E800EFF">
          <wp:extent cx="1025912" cy="438150"/>
          <wp:effectExtent l="0" t="0" r="3175" b="0"/>
          <wp:docPr id="54" name="I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64" cy="44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 xml:space="preserve">                                 </w:t>
    </w:r>
    <w:r>
      <w:t xml:space="preserve">     </w:t>
    </w:r>
    <w:r w:rsidRPr="00CE2CDB">
      <w:rPr>
        <w:rFonts w:ascii="Arial" w:eastAsia="Arial" w:hAnsi="Arial" w:cs="Times New Roman"/>
        <w:noProof/>
        <w:sz w:val="20"/>
        <w:szCs w:val="18"/>
        <w:lang w:val="en-GB"/>
      </w:rPr>
      <w:drawing>
        <wp:inline distT="0" distB="0" distL="0" distR="0" wp14:anchorId="1AB46432" wp14:editId="1574A304">
          <wp:extent cx="981718" cy="398296"/>
          <wp:effectExtent l="0" t="0" r="8890" b="1905"/>
          <wp:docPr id="55" name="Picture 3">
            <a:extLst xmlns:a="http://schemas.openxmlformats.org/drawingml/2006/main">
              <a:ext uri="{FF2B5EF4-FFF2-40B4-BE49-F238E27FC236}">
                <a16:creationId xmlns:a16="http://schemas.microsoft.com/office/drawing/2014/main" id="{A596B09D-4F04-4207-BEF4-56D84186EB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>
                    <a:extLst>
                      <a:ext uri="{FF2B5EF4-FFF2-40B4-BE49-F238E27FC236}">
                        <a16:creationId xmlns:a16="http://schemas.microsoft.com/office/drawing/2014/main" id="{A596B09D-4F04-4207-BEF4-56D84186EB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126" cy="408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t xml:space="preserve">             </w:t>
    </w:r>
    <w:r>
      <w:t xml:space="preserve">            </w:t>
    </w:r>
    <w:r w:rsidRPr="00CE2CDB">
      <w:rPr>
        <w:rFonts w:ascii="Arial" w:eastAsia="Arial" w:hAnsi="Arial" w:cs="Times New Roman"/>
        <w:noProof/>
        <w:sz w:val="20"/>
        <w:szCs w:val="18"/>
        <w:lang w:val="en-GB"/>
      </w:rPr>
      <w:drawing>
        <wp:inline distT="0" distB="0" distL="0" distR="0" wp14:anchorId="7AAEBA06" wp14:editId="1C236640">
          <wp:extent cx="1314849" cy="449132"/>
          <wp:effectExtent l="0" t="0" r="0" b="0"/>
          <wp:docPr id="56" name="Imagine 56">
            <a:extLst xmlns:a="http://schemas.openxmlformats.org/drawingml/2006/main">
              <a:ext uri="{FF2B5EF4-FFF2-40B4-BE49-F238E27FC236}">
                <a16:creationId xmlns:a16="http://schemas.microsoft.com/office/drawing/2014/main" id="{0FE78AE5-7A52-4724-91F4-4525FC3163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ine 8">
                    <a:extLst>
                      <a:ext uri="{FF2B5EF4-FFF2-40B4-BE49-F238E27FC236}">
                        <a16:creationId xmlns:a16="http://schemas.microsoft.com/office/drawing/2014/main" id="{0FE78AE5-7A52-4724-91F4-4525FC3163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3942" cy="469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  <w:r w:rsidRPr="00CE2CDB">
      <w:rPr>
        <w:rFonts w:ascii="Arial" w:eastAsia="Arial" w:hAnsi="Arial" w:cs="Times New Roman"/>
        <w:sz w:val="20"/>
        <w:szCs w:val="18"/>
        <w:lang w:val="en-GB"/>
      </w:rPr>
      <w:t xml:space="preserve">                                     </w:t>
    </w:r>
  </w:p>
  <w:p w:rsidR="00DE39B9" w:rsidRDefault="00DE39B9" w:rsidP="00DE39B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Roman" w:eastAsia="Arial Unicode MS" w:hAnsi="Times Roman" w:cs="Arial Unicode MS"/>
        <w:b/>
        <w:bCs/>
        <w:color w:val="002060"/>
        <w:sz w:val="20"/>
        <w:szCs w:val="20"/>
        <w:lang w:eastAsia="ro-RO"/>
      </w:rPr>
    </w:pPr>
  </w:p>
  <w:p w:rsidR="00DE39B9" w:rsidRPr="005B3F22" w:rsidRDefault="00DE39B9" w:rsidP="00DE39B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Roman" w:eastAsia="Arial Unicode MS" w:hAnsi="Times Roman" w:cs="Arial Unicode MS"/>
        <w:b/>
        <w:bCs/>
        <w:color w:val="002060"/>
        <w:sz w:val="20"/>
        <w:szCs w:val="20"/>
        <w:lang w:eastAsia="ro-RO"/>
      </w:rPr>
    </w:pPr>
    <w:r w:rsidRPr="005B3F22">
      <w:rPr>
        <w:rFonts w:ascii="Times Roman" w:eastAsia="Arial Unicode MS" w:hAnsi="Times Roman" w:cs="Arial Unicode MS"/>
        <w:b/>
        <w:bCs/>
        <w:color w:val="002060"/>
        <w:sz w:val="20"/>
        <w:szCs w:val="20"/>
        <w:lang w:eastAsia="ro-RO"/>
      </w:rPr>
      <w:t xml:space="preserve">RE-ENGINEERING VOCATIONAL ORIENTATION AND CAREER COUNSELLING </w:t>
    </w:r>
  </w:p>
  <w:p w:rsidR="00DE39B9" w:rsidRPr="005B3F22" w:rsidRDefault="00DE39B9" w:rsidP="00DE39B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sz w:val="20"/>
        <w:szCs w:val="20"/>
      </w:rPr>
    </w:pPr>
    <w:r w:rsidRPr="005B3F22">
      <w:rPr>
        <w:rFonts w:ascii="Times Roman" w:eastAsia="Arial Unicode MS" w:hAnsi="Times Roman" w:cs="Arial Unicode MS"/>
        <w:b/>
        <w:bCs/>
        <w:color w:val="002060"/>
        <w:sz w:val="20"/>
        <w:szCs w:val="20"/>
        <w:lang w:eastAsia="ro-RO"/>
      </w:rPr>
      <w:t>(REVOCC II)</w:t>
    </w:r>
  </w:p>
  <w:p w:rsidR="00DE39B9" w:rsidRPr="00DE39B9" w:rsidRDefault="00DE39B9" w:rsidP="00DE39B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967FB"/>
    <w:multiLevelType w:val="multilevel"/>
    <w:tmpl w:val="BD1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72"/>
    <w:rsid w:val="00022118"/>
    <w:rsid w:val="00097ED0"/>
    <w:rsid w:val="00223AAA"/>
    <w:rsid w:val="0030691E"/>
    <w:rsid w:val="0042093C"/>
    <w:rsid w:val="00630C2F"/>
    <w:rsid w:val="007137FC"/>
    <w:rsid w:val="00877E11"/>
    <w:rsid w:val="00890454"/>
    <w:rsid w:val="008B087A"/>
    <w:rsid w:val="008E78C9"/>
    <w:rsid w:val="00906D05"/>
    <w:rsid w:val="00907644"/>
    <w:rsid w:val="00AC7814"/>
    <w:rsid w:val="00B27111"/>
    <w:rsid w:val="00B77572"/>
    <w:rsid w:val="00C13F8C"/>
    <w:rsid w:val="00D30B39"/>
    <w:rsid w:val="00DE39B9"/>
    <w:rsid w:val="00E06B5B"/>
    <w:rsid w:val="00E22523"/>
    <w:rsid w:val="00E7555D"/>
    <w:rsid w:val="00E93901"/>
    <w:rsid w:val="00F0669F"/>
    <w:rsid w:val="00F3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3D6CD"/>
  <w15:docId w15:val="{5C8C7E33-3F19-4798-B233-77C34EB9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5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7757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3AAA"/>
    <w:rPr>
      <w:rFonts w:ascii="Tahoma" w:hAnsi="Tahoma" w:cs="Tahoma"/>
      <w:sz w:val="16"/>
      <w:szCs w:val="16"/>
    </w:rPr>
  </w:style>
  <w:style w:type="character" w:styleId="MeniuneNerezolvat">
    <w:name w:val="Unresolved Mention"/>
    <w:basedOn w:val="Fontdeparagrafimplicit"/>
    <w:uiPriority w:val="99"/>
    <w:semiHidden/>
    <w:unhideWhenUsed/>
    <w:rsid w:val="00890454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DE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39B9"/>
  </w:style>
  <w:style w:type="paragraph" w:styleId="Subsol">
    <w:name w:val="footer"/>
    <w:basedOn w:val="Normal"/>
    <w:link w:val="SubsolCaracter"/>
    <w:uiPriority w:val="99"/>
    <w:unhideWhenUsed/>
    <w:rsid w:val="00DE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78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02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Lia Sclifos</cp:lastModifiedBy>
  <cp:revision>12</cp:revision>
  <dcterms:created xsi:type="dcterms:W3CDTF">2020-04-27T11:18:00Z</dcterms:created>
  <dcterms:modified xsi:type="dcterms:W3CDTF">2020-04-28T05:14:00Z</dcterms:modified>
</cp:coreProperties>
</file>